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9A7" w:rsidRDefault="00247361">
      <w:pPr>
        <w:jc w:val="both"/>
        <w:rPr>
          <w:rFonts w:ascii="Times New Roman" w:eastAsiaTheme="minorEastAsia" w:hAnsi="Times New Roman" w:cs="Times New Roman"/>
          <w:b/>
          <w:sz w:val="28"/>
          <w:szCs w:val="28"/>
        </w:rPr>
      </w:pPr>
      <w:r>
        <w:rPr>
          <w:rFonts w:ascii="Times New Roman" w:eastAsiaTheme="minorEastAsia" w:hAnsi="Times New Roman" w:cs="Times New Roman"/>
          <w:b/>
          <w:sz w:val="28"/>
          <w:szCs w:val="28"/>
        </w:rPr>
        <w:t>Saint Paul’s Hospital Millennium Medical College, Department of Obstetrics and Gynecology</w:t>
      </w:r>
    </w:p>
    <w:p w:rsidR="002C49A7" w:rsidRDefault="00247361">
      <w:pPr>
        <w:jc w:val="both"/>
        <w:rPr>
          <w:rFonts w:ascii="Times New Roman" w:eastAsiaTheme="minorEastAsia" w:hAnsi="Times New Roman" w:cs="Times New Roman"/>
          <w:b/>
          <w:sz w:val="32"/>
          <w:szCs w:val="32"/>
        </w:rPr>
      </w:pPr>
      <w:r>
        <w:rPr>
          <w:rFonts w:ascii="Times New Roman" w:hAnsi="Times New Roman" w:cs="Times New Roman"/>
          <w:noProof/>
          <w:color w:val="5B9BD5" w:themeColor="accent1"/>
          <w:sz w:val="32"/>
          <w:szCs w:val="32"/>
        </w:rPr>
        <w:drawing>
          <wp:inline distT="0" distB="0" distL="0" distR="0">
            <wp:extent cx="5942330" cy="2076450"/>
            <wp:effectExtent l="0" t="0" r="1270" b="0"/>
            <wp:docPr id="1" name="Picture 0" descr="Logo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Logo new.jpg"/>
                    <pic:cNvPicPr>
                      <a:picLocks noChangeAspect="1"/>
                    </pic:cNvPicPr>
                  </pic:nvPicPr>
                  <pic:blipFill>
                    <a:blip r:embed="rId10" cstate="print"/>
                    <a:stretch>
                      <a:fillRect/>
                    </a:stretch>
                  </pic:blipFill>
                  <pic:spPr>
                    <a:xfrm>
                      <a:off x="0" y="0"/>
                      <a:ext cx="5949480" cy="2078802"/>
                    </a:xfrm>
                    <a:prstGeom prst="rect">
                      <a:avLst/>
                    </a:prstGeom>
                  </pic:spPr>
                </pic:pic>
              </a:graphicData>
            </a:graphic>
          </wp:inline>
        </w:drawing>
      </w:r>
    </w:p>
    <w:p w:rsidR="002C49A7" w:rsidRDefault="00247361">
      <w:pPr>
        <w:jc w:val="both"/>
        <w:rPr>
          <w:rFonts w:ascii="Times New Roman" w:hAnsi="Times New Roman" w:cs="Times New Roman"/>
          <w:b/>
          <w:sz w:val="28"/>
          <w:szCs w:val="28"/>
        </w:rPr>
      </w:pPr>
      <w:r>
        <w:rPr>
          <w:rFonts w:ascii="Times New Roman" w:hAnsi="Times New Roman" w:cs="Times New Roman"/>
          <w:b/>
          <w:sz w:val="28"/>
          <w:szCs w:val="28"/>
        </w:rPr>
        <w:t>Prevalence of Superimposed Preeclampsia and associated factors among Women with Chronic Hypertension who gave birth at Saint Paul’s hospital millennium medical college Addis Ababa, Ethiopia.</w:t>
      </w:r>
    </w:p>
    <w:p w:rsidR="002C49A7" w:rsidRDefault="002C49A7">
      <w:pPr>
        <w:jc w:val="both"/>
        <w:rPr>
          <w:rFonts w:ascii="Times New Roman" w:hAnsi="Times New Roman" w:cs="Times New Roman"/>
          <w:b/>
          <w:sz w:val="28"/>
          <w:szCs w:val="28"/>
        </w:rPr>
      </w:pPr>
    </w:p>
    <w:p w:rsidR="002C49A7" w:rsidRDefault="00247361">
      <w:pPr>
        <w:jc w:val="both"/>
        <w:rPr>
          <w:rFonts w:ascii="Times New Roman" w:hAnsi="Times New Roman" w:cs="Times New Roman"/>
          <w:b/>
          <w:sz w:val="28"/>
          <w:szCs w:val="28"/>
        </w:rPr>
      </w:pPr>
      <w:r>
        <w:rPr>
          <w:rFonts w:ascii="Times New Roman" w:hAnsi="Times New Roman" w:cs="Times New Roman"/>
          <w:b/>
          <w:sz w:val="28"/>
          <w:szCs w:val="28"/>
        </w:rPr>
        <w:t xml:space="preserve">Investigator </w:t>
      </w:r>
    </w:p>
    <w:p w:rsidR="002C49A7" w:rsidRDefault="00247361">
      <w:pPr>
        <w:rPr>
          <w:rFonts w:ascii="Times New Roman" w:hAnsi="Times New Roman" w:cs="Times New Roman"/>
          <w:b/>
          <w:sz w:val="28"/>
          <w:szCs w:val="28"/>
        </w:rPr>
      </w:pPr>
      <w:proofErr w:type="spellStart"/>
      <w:r>
        <w:rPr>
          <w:rFonts w:ascii="Times New Roman" w:hAnsi="Times New Roman" w:cs="Times New Roman"/>
          <w:b/>
          <w:sz w:val="28"/>
          <w:szCs w:val="28"/>
        </w:rPr>
        <w:t>Berhanu</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Seboka</w:t>
      </w:r>
      <w:proofErr w:type="spellEnd"/>
      <w:r>
        <w:rPr>
          <w:rFonts w:ascii="Times New Roman" w:hAnsi="Times New Roman" w:cs="Times New Roman"/>
          <w:b/>
          <w:sz w:val="28"/>
          <w:szCs w:val="28"/>
        </w:rPr>
        <w:t xml:space="preserve"> (MD, Year IV Obstetrics and Gynecology Resident   at Saint Paul’s Hospital Millennium Medical College)</w:t>
      </w:r>
    </w:p>
    <w:p w:rsidR="002C49A7" w:rsidRDefault="00247361">
      <w:pPr>
        <w:jc w:val="both"/>
        <w:rPr>
          <w:rFonts w:ascii="Times New Roman" w:hAnsi="Times New Roman" w:cs="Times New Roman"/>
          <w:b/>
          <w:sz w:val="28"/>
          <w:szCs w:val="28"/>
        </w:rPr>
      </w:pPr>
      <w:r>
        <w:rPr>
          <w:rFonts w:ascii="Times New Roman" w:hAnsi="Times New Roman" w:cs="Times New Roman"/>
          <w:b/>
          <w:sz w:val="28"/>
          <w:szCs w:val="28"/>
        </w:rPr>
        <w:t xml:space="preserve">Advisor: </w:t>
      </w:r>
    </w:p>
    <w:p w:rsidR="002C49A7" w:rsidRDefault="00247361">
      <w:pPr>
        <w:rPr>
          <w:rFonts w:ascii="Times New Roman" w:hAnsi="Times New Roman" w:cs="Times New Roman"/>
          <w:b/>
          <w:sz w:val="28"/>
          <w:szCs w:val="28"/>
        </w:rPr>
      </w:pPr>
      <w:proofErr w:type="spellStart"/>
      <w:r>
        <w:rPr>
          <w:rFonts w:ascii="Times New Roman" w:hAnsi="Times New Roman" w:cs="Times New Roman"/>
          <w:b/>
          <w:sz w:val="28"/>
          <w:szCs w:val="28"/>
        </w:rPr>
        <w:t>Dr</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Ayalew</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Marye</w:t>
      </w:r>
      <w:proofErr w:type="spellEnd"/>
      <w:r>
        <w:rPr>
          <w:rFonts w:ascii="Times New Roman" w:hAnsi="Times New Roman" w:cs="Times New Roman"/>
          <w:b/>
          <w:sz w:val="28"/>
          <w:szCs w:val="28"/>
        </w:rPr>
        <w:t xml:space="preserve"> (MD, Obstetrician and Gynecologist, Reproductive Endocrinology and Infertility Fellow)</w:t>
      </w:r>
    </w:p>
    <w:p w:rsidR="002C49A7" w:rsidRDefault="002C49A7">
      <w:pPr>
        <w:jc w:val="both"/>
        <w:rPr>
          <w:rFonts w:ascii="Times New Roman" w:hAnsi="Times New Roman" w:cs="Times New Roman"/>
          <w:b/>
          <w:sz w:val="28"/>
          <w:szCs w:val="28"/>
        </w:rPr>
      </w:pPr>
    </w:p>
    <w:p w:rsidR="002C49A7" w:rsidRDefault="00247361">
      <w:pPr>
        <w:rPr>
          <w:rFonts w:ascii="Times New Roman" w:hAnsi="Times New Roman" w:cs="Times New Roman"/>
          <w:b/>
          <w:sz w:val="28"/>
          <w:szCs w:val="28"/>
        </w:rPr>
      </w:pPr>
      <w:r>
        <w:rPr>
          <w:rFonts w:ascii="Times New Roman" w:hAnsi="Times New Roman" w:cs="Times New Roman"/>
          <w:b/>
          <w:sz w:val="28"/>
          <w:szCs w:val="28"/>
        </w:rPr>
        <w:t>A Research manuscript to be submitted to Saint Paul’s Hospital Millennium Medical College, Department of Obstetrics and Gynecology as partial fulfillment for specialty certificate in Obstetrics and Gynecology</w:t>
      </w:r>
    </w:p>
    <w:p w:rsidR="002C49A7" w:rsidRDefault="002C49A7">
      <w:pPr>
        <w:rPr>
          <w:rFonts w:ascii="Times New Roman" w:hAnsi="Times New Roman" w:cs="Times New Roman"/>
          <w:sz w:val="32"/>
          <w:szCs w:val="32"/>
        </w:rPr>
      </w:pPr>
    </w:p>
    <w:p w:rsidR="002C49A7" w:rsidRDefault="002C49A7">
      <w:pPr>
        <w:rPr>
          <w:rFonts w:ascii="Times New Roman" w:hAnsi="Times New Roman" w:cs="Times New Roman"/>
          <w:sz w:val="32"/>
          <w:szCs w:val="32"/>
        </w:rPr>
      </w:pPr>
    </w:p>
    <w:p w:rsidR="002C49A7" w:rsidRDefault="00247361">
      <w:pPr>
        <w:jc w:val="right"/>
        <w:rPr>
          <w:rFonts w:ascii="Times New Roman" w:hAnsi="Times New Roman" w:cs="Times New Roman"/>
          <w:b/>
          <w:sz w:val="32"/>
          <w:szCs w:val="32"/>
        </w:rPr>
      </w:pPr>
      <w:r>
        <w:rPr>
          <w:rFonts w:ascii="Times New Roman" w:hAnsi="Times New Roman" w:cs="Times New Roman"/>
          <w:b/>
          <w:sz w:val="32"/>
          <w:szCs w:val="32"/>
        </w:rPr>
        <w:t>September, 2020</w:t>
      </w:r>
    </w:p>
    <w:p w:rsidR="002C49A7" w:rsidRDefault="00247361">
      <w:pPr>
        <w:jc w:val="right"/>
        <w:rPr>
          <w:rFonts w:ascii="Times New Roman" w:hAnsi="Times New Roman" w:cs="Times New Roman"/>
          <w:b/>
          <w:sz w:val="32"/>
          <w:szCs w:val="32"/>
        </w:rPr>
      </w:pPr>
      <w:r>
        <w:rPr>
          <w:rFonts w:ascii="Times New Roman" w:hAnsi="Times New Roman" w:cs="Times New Roman"/>
          <w:b/>
          <w:sz w:val="32"/>
          <w:szCs w:val="32"/>
        </w:rPr>
        <w:t xml:space="preserve"> Addis Ababa, Ethiopia</w:t>
      </w:r>
    </w:p>
    <w:p w:rsidR="002C49A7" w:rsidRDefault="002C49A7">
      <w:pPr>
        <w:spacing w:line="360" w:lineRule="auto"/>
        <w:jc w:val="both"/>
        <w:rPr>
          <w:rFonts w:ascii="Times New Roman" w:hAnsi="Times New Roman" w:cs="Times New Roman"/>
          <w:b/>
          <w:sz w:val="28"/>
          <w:szCs w:val="28"/>
        </w:rPr>
        <w:sectPr w:rsidR="002C49A7">
          <w:footerReference w:type="default" r:id="rId11"/>
          <w:pgSz w:w="12240" w:h="15840"/>
          <w:pgMar w:top="1440" w:right="1080" w:bottom="1440" w:left="1080" w:header="720" w:footer="720" w:gutter="0"/>
          <w:pgNumType w:start="1"/>
          <w:cols w:space="425"/>
          <w:docGrid w:linePitch="360"/>
        </w:sectPr>
      </w:pPr>
    </w:p>
    <w:p w:rsidR="002C49A7" w:rsidRDefault="00247361">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Prevalence of Superimposed Preeclampsia and associated factors among Women with Chronic Hypertension who gave birth at Saint Paul’s Hospital Millennium Medical College Addis Ababa, Ethiopia</w:t>
      </w:r>
    </w:p>
    <w:p w:rsidR="002C49A7" w:rsidRDefault="00247361" w:rsidP="00785559">
      <w:pPr>
        <w:spacing w:line="360" w:lineRule="auto"/>
        <w:rPr>
          <w:rFonts w:ascii="Times New Roman" w:hAnsi="Times New Roman" w:cs="Times New Roman"/>
          <w:bCs/>
          <w:sz w:val="24"/>
          <w:szCs w:val="24"/>
          <w:vertAlign w:val="superscript"/>
        </w:rPr>
      </w:pPr>
      <w:proofErr w:type="spellStart"/>
      <w:r>
        <w:rPr>
          <w:rFonts w:ascii="Times New Roman" w:hAnsi="Times New Roman" w:cs="Times New Roman"/>
          <w:bCs/>
          <w:sz w:val="24"/>
          <w:szCs w:val="24"/>
        </w:rPr>
        <w:t>Berhanu</w:t>
      </w:r>
      <w:proofErr w:type="spellEnd"/>
      <w:r>
        <w:rPr>
          <w:rFonts w:ascii="Times New Roman" w:hAnsi="Times New Roman" w:cs="Times New Roman"/>
          <w:bCs/>
          <w:sz w:val="24"/>
          <w:szCs w:val="24"/>
        </w:rPr>
        <w:t xml:space="preserve"> Seboka</w:t>
      </w:r>
      <w:r>
        <w:rPr>
          <w:rFonts w:ascii="Times New Roman" w:hAnsi="Times New Roman" w:cs="Times New Roman"/>
          <w:bCs/>
          <w:sz w:val="24"/>
          <w:szCs w:val="24"/>
          <w:vertAlign w:val="superscript"/>
        </w:rPr>
        <w:t>1</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Ayalew</w:t>
      </w:r>
      <w:proofErr w:type="spellEnd"/>
      <w:r>
        <w:rPr>
          <w:rFonts w:ascii="Times New Roman" w:hAnsi="Times New Roman" w:cs="Times New Roman"/>
          <w:bCs/>
          <w:sz w:val="24"/>
          <w:szCs w:val="24"/>
        </w:rPr>
        <w:t xml:space="preserve"> Marye</w:t>
      </w:r>
      <w:r>
        <w:rPr>
          <w:rFonts w:ascii="Times New Roman" w:hAnsi="Times New Roman" w:cs="Times New Roman"/>
          <w:bCs/>
          <w:sz w:val="24"/>
          <w:szCs w:val="24"/>
          <w:vertAlign w:val="superscript"/>
        </w:rPr>
        <w:t>2</w:t>
      </w:r>
    </w:p>
    <w:p w:rsidR="002C49A7" w:rsidRDefault="00247361" w:rsidP="00785559">
      <w:pPr>
        <w:spacing w:line="360" w:lineRule="auto"/>
        <w:rPr>
          <w:rFonts w:ascii="Times New Roman" w:hAnsi="Times New Roman" w:cs="Times New Roman"/>
          <w:bCs/>
          <w:sz w:val="24"/>
          <w:szCs w:val="24"/>
        </w:rPr>
      </w:pPr>
      <w:r>
        <w:rPr>
          <w:rFonts w:ascii="Times New Roman" w:hAnsi="Times New Roman" w:cs="Times New Roman"/>
          <w:bCs/>
          <w:sz w:val="24"/>
          <w:szCs w:val="24"/>
          <w:vertAlign w:val="superscript"/>
        </w:rPr>
        <w:t>1</w:t>
      </w:r>
      <w:r>
        <w:rPr>
          <w:rFonts w:ascii="Times New Roman" w:hAnsi="Times New Roman" w:cs="Times New Roman"/>
          <w:bCs/>
          <w:sz w:val="24"/>
          <w:szCs w:val="24"/>
        </w:rPr>
        <w:t xml:space="preserve">Berhanu </w:t>
      </w:r>
      <w:proofErr w:type="spellStart"/>
      <w:r>
        <w:rPr>
          <w:rFonts w:ascii="Times New Roman" w:hAnsi="Times New Roman" w:cs="Times New Roman"/>
          <w:bCs/>
          <w:sz w:val="24"/>
          <w:szCs w:val="24"/>
        </w:rPr>
        <w:t>Seboka</w:t>
      </w:r>
      <w:proofErr w:type="spellEnd"/>
      <w:r>
        <w:rPr>
          <w:rFonts w:ascii="Times New Roman" w:hAnsi="Times New Roman" w:cs="Times New Roman"/>
          <w:bCs/>
          <w:sz w:val="24"/>
          <w:szCs w:val="24"/>
        </w:rPr>
        <w:t xml:space="preserve">, Saint Paul’s Hospital Millennium Medical College, </w:t>
      </w:r>
      <w:r>
        <w:rPr>
          <w:rFonts w:ascii="Times New Roman" w:hAnsi="Times New Roman" w:cs="Times New Roman"/>
          <w:bCs/>
          <w:color w:val="0000FF"/>
          <w:sz w:val="24"/>
          <w:szCs w:val="24"/>
        </w:rPr>
        <w:t>e-mail-</w:t>
      </w:r>
      <w:hyperlink r:id="rId12" w:history="1">
        <w:r>
          <w:rPr>
            <w:rStyle w:val="Hyperlink"/>
            <w:rFonts w:ascii="Times New Roman" w:hAnsi="Times New Roman" w:cs="Times New Roman"/>
            <w:bCs/>
            <w:sz w:val="24"/>
            <w:szCs w:val="24"/>
          </w:rPr>
          <w:t>berhanuseboka375@gmail.com</w:t>
        </w:r>
      </w:hyperlink>
    </w:p>
    <w:p w:rsidR="002C49A7" w:rsidRDefault="00247361" w:rsidP="00785559">
      <w:pPr>
        <w:spacing w:line="360" w:lineRule="auto"/>
        <w:rPr>
          <w:rFonts w:ascii="Times New Roman" w:hAnsi="Times New Roman" w:cs="Times New Roman"/>
          <w:bCs/>
          <w:iCs/>
          <w:sz w:val="24"/>
          <w:szCs w:val="24"/>
        </w:rPr>
        <w:sectPr w:rsidR="002C49A7">
          <w:footerReference w:type="default" r:id="rId13"/>
          <w:pgSz w:w="12240" w:h="15840"/>
          <w:pgMar w:top="1440" w:right="1080" w:bottom="1440" w:left="1080" w:header="720" w:footer="720" w:gutter="0"/>
          <w:pgNumType w:start="1"/>
          <w:cols w:space="425"/>
          <w:docGrid w:linePitch="360"/>
        </w:sectPr>
      </w:pP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Ayalew </w:t>
      </w:r>
      <w:proofErr w:type="spellStart"/>
      <w:r>
        <w:rPr>
          <w:rFonts w:ascii="Times New Roman" w:hAnsi="Times New Roman" w:cs="Times New Roman"/>
          <w:bCs/>
          <w:sz w:val="24"/>
          <w:szCs w:val="24"/>
        </w:rPr>
        <w:t>Marye</w:t>
      </w:r>
      <w:proofErr w:type="spellEnd"/>
      <w:proofErr w:type="gramStart"/>
      <w:r>
        <w:rPr>
          <w:rFonts w:ascii="Times New Roman" w:hAnsi="Times New Roman" w:cs="Times New Roman"/>
          <w:bCs/>
          <w:sz w:val="24"/>
          <w:szCs w:val="24"/>
        </w:rPr>
        <w:t>,  Saint</w:t>
      </w:r>
      <w:proofErr w:type="gramEnd"/>
      <w:r>
        <w:rPr>
          <w:rFonts w:ascii="Times New Roman" w:hAnsi="Times New Roman" w:cs="Times New Roman"/>
          <w:bCs/>
          <w:sz w:val="24"/>
          <w:szCs w:val="24"/>
        </w:rPr>
        <w:t xml:space="preserve"> Paul’s Hospital Millennium Medical College, e-mail-ayalewmarye56@gmail.com</w:t>
      </w:r>
    </w:p>
    <w:p w:rsidR="002C49A7" w:rsidRDefault="002C49A7">
      <w:pPr>
        <w:spacing w:line="360" w:lineRule="auto"/>
        <w:jc w:val="both"/>
        <w:rPr>
          <w:rFonts w:ascii="Times New Roman" w:hAnsi="Times New Roman" w:cs="Times New Roman"/>
          <w:b/>
          <w:i/>
          <w:sz w:val="18"/>
          <w:szCs w:val="18"/>
        </w:rPr>
        <w:sectPr w:rsidR="002C49A7">
          <w:footerReference w:type="default" r:id="rId14"/>
          <w:type w:val="continuous"/>
          <w:pgSz w:w="12240" w:h="15840"/>
          <w:pgMar w:top="1440" w:right="1080" w:bottom="1440" w:left="1080" w:header="720" w:footer="720" w:gutter="0"/>
          <w:cols w:space="425"/>
          <w:docGrid w:linePitch="360"/>
        </w:sectPr>
      </w:pPr>
    </w:p>
    <w:p w:rsidR="002C49A7" w:rsidRDefault="00247361">
      <w:pPr>
        <w:spacing w:line="360" w:lineRule="auto"/>
        <w:jc w:val="both"/>
        <w:rPr>
          <w:rFonts w:ascii="Times New Roman" w:hAnsi="Times New Roman" w:cs="Times New Roman"/>
          <w:b/>
          <w:iCs/>
          <w:sz w:val="28"/>
          <w:szCs w:val="28"/>
        </w:rPr>
      </w:pPr>
      <w:r>
        <w:rPr>
          <w:rFonts w:ascii="Times New Roman" w:hAnsi="Times New Roman" w:cs="Times New Roman"/>
          <w:b/>
          <w:iCs/>
          <w:sz w:val="28"/>
          <w:szCs w:val="28"/>
        </w:rPr>
        <w:lastRenderedPageBreak/>
        <w:t>Abstract</w:t>
      </w:r>
    </w:p>
    <w:p w:rsidR="002C49A7" w:rsidRDefault="00247361">
      <w:pPr>
        <w:spacing w:line="36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Introduction: </w:t>
      </w:r>
      <w:r>
        <w:rPr>
          <w:rFonts w:ascii="Times New Roman" w:hAnsi="Times New Roman" w:cs="Times New Roman"/>
          <w:iCs/>
          <w:sz w:val="24"/>
          <w:szCs w:val="24"/>
        </w:rPr>
        <w:t>The prevalence of chronic hypertension during pregnancy is on average around 10% worldwide and of this around 25% on average will develop superimposed preeclampsia. Little is known about superimposed preeclampsia in Ethiopia. So, the objective of this study is to determine prevalence of superimposed preeclampsia and associated factors in one of tertiary referral center in Addis Ababa, Ethiopia.</w:t>
      </w:r>
    </w:p>
    <w:p w:rsidR="002C49A7" w:rsidRDefault="00247361">
      <w:pPr>
        <w:spacing w:line="36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Methodology: </w:t>
      </w:r>
      <w:r>
        <w:rPr>
          <w:rFonts w:ascii="Times New Roman" w:hAnsi="Times New Roman" w:cs="Times New Roman"/>
          <w:iCs/>
          <w:sz w:val="24"/>
          <w:szCs w:val="24"/>
        </w:rPr>
        <w:t xml:space="preserve">A hospital based retrospective cross-sectional study was conducted at Saint Paul’s Hospital Millennium Medical College starting from February 1, 2019 to January 31, 2020. All pregnant women who were diagnosed with chronic hypertension and admitted for delivery were included. The admission data summary was reviewed for data collection. Data was collected using questionnaires, entered and analyzed using SPSS version 23. After bivariate analysis, multivariate logistic regression analysis was carried, we used p=0.05 for </w:t>
      </w:r>
      <w:proofErr w:type="spellStart"/>
      <w:r>
        <w:rPr>
          <w:rFonts w:ascii="Times New Roman" w:hAnsi="Times New Roman" w:cs="Times New Roman"/>
          <w:iCs/>
          <w:sz w:val="24"/>
          <w:szCs w:val="24"/>
        </w:rPr>
        <w:t>stastical</w:t>
      </w:r>
      <w:proofErr w:type="spellEnd"/>
      <w:r>
        <w:rPr>
          <w:rFonts w:ascii="Times New Roman" w:hAnsi="Times New Roman" w:cs="Times New Roman"/>
          <w:iCs/>
          <w:sz w:val="24"/>
          <w:szCs w:val="24"/>
        </w:rPr>
        <w:t xml:space="preserve"> significance.</w:t>
      </w:r>
    </w:p>
    <w:p w:rsidR="002C49A7" w:rsidRDefault="00247361">
      <w:pPr>
        <w:pStyle w:val="ListParagraph"/>
        <w:spacing w:line="360" w:lineRule="auto"/>
        <w:ind w:left="45"/>
        <w:jc w:val="both"/>
        <w:rPr>
          <w:rStyle w:val="Emphasis"/>
          <w:rFonts w:ascii="Times New Roman" w:hAnsi="Times New Roman" w:cs="Times New Roman"/>
          <w:bCs/>
          <w:i w:val="0"/>
          <w:sz w:val="24"/>
          <w:szCs w:val="24"/>
        </w:rPr>
      </w:pPr>
      <w:r>
        <w:rPr>
          <w:rFonts w:ascii="Times New Roman" w:hAnsi="Times New Roman" w:cs="Times New Roman"/>
          <w:b/>
          <w:iCs/>
          <w:sz w:val="24"/>
          <w:szCs w:val="24"/>
        </w:rPr>
        <w:t xml:space="preserve">Result: </w:t>
      </w:r>
      <w:r>
        <w:rPr>
          <w:rFonts w:ascii="Times New Roman" w:hAnsi="Times New Roman" w:cs="Times New Roman"/>
          <w:iCs/>
          <w:sz w:val="24"/>
          <w:szCs w:val="24"/>
        </w:rPr>
        <w:t xml:space="preserve">This study indicated that the prevalence of superimposed preeclampsia among pregnant women with chronic hypertension to be 44.1%. </w:t>
      </w:r>
      <w:r>
        <w:rPr>
          <w:rFonts w:ascii="Times New Roman" w:hAnsi="Times New Roman" w:cs="Times New Roman"/>
          <w:iCs/>
          <w:color w:val="000000"/>
          <w:sz w:val="24"/>
          <w:szCs w:val="24"/>
        </w:rPr>
        <w:t>This study reveals high risk ANC follow up (AOR-4.5 95% CI 1.5-14) is an independent factor associated factor with development of superimposed preeclampsia. There was no association seen with respect to maternal age, parity, marital status, occupation and GA at diagnosis.</w:t>
      </w:r>
    </w:p>
    <w:p w:rsidR="002C49A7" w:rsidRDefault="00247361">
      <w:pPr>
        <w:spacing w:line="360" w:lineRule="auto"/>
        <w:jc w:val="both"/>
        <w:rPr>
          <w:rStyle w:val="Emphasis"/>
          <w:rFonts w:ascii="Times New Roman" w:hAnsi="Times New Roman" w:cs="Times New Roman"/>
          <w:b/>
          <w:i w:val="0"/>
          <w:sz w:val="24"/>
          <w:szCs w:val="24"/>
        </w:rPr>
      </w:pPr>
      <w:r>
        <w:rPr>
          <w:rStyle w:val="Emphasis"/>
          <w:rFonts w:ascii="Times New Roman" w:hAnsi="Times New Roman" w:cs="Times New Roman"/>
          <w:b/>
          <w:i w:val="0"/>
          <w:sz w:val="24"/>
          <w:szCs w:val="24"/>
        </w:rPr>
        <w:lastRenderedPageBreak/>
        <w:t xml:space="preserve">Conclusion: </w:t>
      </w:r>
      <w:r>
        <w:rPr>
          <w:rFonts w:ascii="Times New Roman" w:hAnsi="Times New Roman" w:cs="Times New Roman"/>
          <w:iCs/>
          <w:color w:val="000000"/>
          <w:sz w:val="24"/>
          <w:szCs w:val="24"/>
          <w:shd w:val="clear" w:color="auto" w:fill="FFFFFF"/>
        </w:rPr>
        <w:t xml:space="preserve">The prevalence of superimposed preeclampsia was found to be higher in this study. Most of social-demographic and obstetrics factors were not associated with superimposed </w:t>
      </w:r>
      <w:proofErr w:type="spellStart"/>
      <w:r>
        <w:rPr>
          <w:rFonts w:ascii="Times New Roman" w:hAnsi="Times New Roman" w:cs="Times New Roman"/>
          <w:iCs/>
          <w:color w:val="000000"/>
          <w:sz w:val="24"/>
          <w:szCs w:val="24"/>
          <w:shd w:val="clear" w:color="auto" w:fill="FFFFFF"/>
        </w:rPr>
        <w:t>preclampsia</w:t>
      </w:r>
      <w:proofErr w:type="spellEnd"/>
      <w:r>
        <w:rPr>
          <w:rFonts w:ascii="Times New Roman" w:hAnsi="Times New Roman" w:cs="Times New Roman"/>
          <w:iCs/>
          <w:color w:val="000000"/>
          <w:sz w:val="24"/>
          <w:szCs w:val="24"/>
          <w:shd w:val="clear" w:color="auto" w:fill="FFFFFF"/>
        </w:rPr>
        <w:t>. Additionally, unfavorable neonatal outcomes were found to be higher among women with superimposed preeclampsia than those with chronic hypertension only.</w:t>
      </w:r>
    </w:p>
    <w:p w:rsidR="002C49A7" w:rsidRDefault="00247361">
      <w:pPr>
        <w:spacing w:line="360" w:lineRule="auto"/>
        <w:jc w:val="both"/>
        <w:rPr>
          <w:rFonts w:ascii="Times New Roman" w:hAnsi="Times New Roman" w:cs="Times New Roman"/>
          <w:iCs/>
          <w:sz w:val="24"/>
          <w:szCs w:val="24"/>
        </w:rPr>
        <w:sectPr w:rsidR="002C49A7">
          <w:footerReference w:type="default" r:id="rId15"/>
          <w:type w:val="continuous"/>
          <w:pgSz w:w="12240" w:h="15840"/>
          <w:pgMar w:top="1440" w:right="1080" w:bottom="1440" w:left="1080" w:header="720" w:footer="720" w:gutter="0"/>
          <w:pgNumType w:start="1"/>
          <w:cols w:space="720"/>
          <w:docGrid w:linePitch="360"/>
        </w:sectPr>
      </w:pPr>
      <w:r>
        <w:rPr>
          <w:rFonts w:ascii="Times New Roman" w:hAnsi="Times New Roman" w:cs="Times New Roman"/>
          <w:b/>
          <w:iCs/>
          <w:sz w:val="24"/>
          <w:szCs w:val="24"/>
        </w:rPr>
        <w:t xml:space="preserve">Key terms: </w:t>
      </w:r>
      <w:r>
        <w:rPr>
          <w:rFonts w:ascii="Times New Roman" w:hAnsi="Times New Roman" w:cs="Times New Roman"/>
          <w:iCs/>
          <w:sz w:val="24"/>
          <w:szCs w:val="24"/>
        </w:rPr>
        <w:t>prevalence, chronic hypertension, superimposed preeclampsia, preeclampsia, perinatal outcom</w:t>
      </w:r>
      <w:r w:rsidR="00785559">
        <w:rPr>
          <w:rFonts w:ascii="Times New Roman" w:hAnsi="Times New Roman" w:cs="Times New Roman"/>
          <w:iCs/>
          <w:sz w:val="24"/>
          <w:szCs w:val="24"/>
        </w:rPr>
        <w:t>e</w:t>
      </w:r>
    </w:p>
    <w:p w:rsidR="002C49A7" w:rsidRDefault="00247361">
      <w:pPr>
        <w:spacing w:after="100" w:afterAutospacing="1"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Introduction</w:t>
      </w:r>
    </w:p>
    <w:p w:rsidR="00247361" w:rsidRDefault="00247361" w:rsidP="00247361">
      <w:pPr>
        <w:spacing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Hypertensive disorders in pregnancy (HDP) complicate up to 10% of pregnancies worldwide. HDP encompasses preeclampsia, gestational hypertension, chronic hypertension and chronic hypertension with superimposed preeclampsia. Chronic hypertension affects up to 5% of pregnancy</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ExcludeAuth="1" ExcludeYear="1"&gt;&lt;Author&gt;Ankumah&lt;/Author&gt;&lt;Year&gt;2017&lt;/Year&gt;&lt;RecNum&gt;48&lt;/RecNum&gt;&lt;DisplayText&gt;(1)&lt;/DisplayText&gt;&lt;record&gt;&lt;rec-number&gt;48&lt;/rec-number&gt;&lt;foreign-keys&gt;&lt;key app="EN" db-id="aez2w9td7dvre2ees5ypszf9xez900rafpxz"&gt;48&lt;/key&gt;&lt;/foreign-keys&gt;&lt;ref-type name="Journal Article"&gt;17&lt;/ref-type&gt;&lt;contributors&gt;&lt;authors&gt;&lt;author&gt;Ankumah, Nana-Ama E&lt;/author&gt;&lt;author&gt;Sibai, Baha M&lt;/author&gt;&lt;/authors&gt;&lt;/contributors&gt;&lt;titles&gt;&lt;title&gt;Chronic hypertension in pregnancy: diagnosis, management, and outcomes&lt;/title&gt;&lt;secondary-title&gt;Clinical obstetrics and gynecology&lt;/secondary-title&gt;&lt;/titles&gt;&lt;periodical&gt;&lt;full-title&gt;Clinical obstetrics and gynecology&lt;/full-title&gt;&lt;/periodical&gt;&lt;pages&gt;206-214&lt;/pages&gt;&lt;volume&gt;60&lt;/volume&gt;&lt;number&gt;1&lt;/number&gt;&lt;dates&gt;&lt;year&gt;2017&lt;/year&gt;&lt;/dates&gt;&lt;isbn&gt;0009-9201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1" w:tooltip="Ankumah, 2017 #48" w:history="1">
        <w:r>
          <w:rPr>
            <w:rFonts w:ascii="Times New Roman" w:hAnsi="Times New Roman" w:cs="Times New Roman"/>
            <w:sz w:val="24"/>
            <w:szCs w:val="24"/>
          </w:rPr>
          <w:t>1</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2C49A7" w:rsidRDefault="00247361" w:rsidP="00247361">
      <w:pPr>
        <w:spacing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Chronic hypertension (CHTN) is defined as hypertension that predate pregnancy or that appear before 20 week of gestation or that persists after 6-12 week post-delivery with resting blood pressure (BP) measurement of 140/90 mmHg. It is one of the pregnancy induced hypertension with a number of complications both to the mother and to fetus and neonates. One of the complications is progression to super imposed preeclampsia which happens in nearly half of the cases. Super imposed preeclampsia is considered when one of the following is fulfilled; cerebral symptoms (persistent headache, blurring of vision (BOV)), new appearing proteinuria or worsening in proteinuria in previously protein uric patient, end organ damage like liver injury or kidney injury, and thrombocytopenia.</w:t>
      </w:r>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American Congress of Obstetricians and Gynecologists (ACOG) task force on hypertension in pregnancy, suggests that superimposed preeclampsia (SIP) should be stratified into two groups: SIP and SIP with </w:t>
      </w:r>
      <w:r>
        <w:rPr>
          <w:rFonts w:ascii="Times New Roman" w:hAnsi="Times New Roman" w:cs="Times New Roman"/>
          <w:sz w:val="24"/>
          <w:szCs w:val="24"/>
        </w:rPr>
        <w:lastRenderedPageBreak/>
        <w:t xml:space="preserve">severe feature (SF). SIP with SF is defined as CHTN with severe range BP despite treatment and/or in association with symptoms or laboratory abnormalities. These include thrombocytopenia &lt; 100,000 platelets, elevated level of transaminases (double the upper limit of the normal range), new-onset upper quadrant pain or </w:t>
      </w:r>
      <w:proofErr w:type="spellStart"/>
      <w:r>
        <w:rPr>
          <w:rFonts w:ascii="Times New Roman" w:hAnsi="Times New Roman" w:cs="Times New Roman"/>
          <w:sz w:val="24"/>
          <w:szCs w:val="24"/>
        </w:rPr>
        <w:t>epigastric</w:t>
      </w:r>
      <w:proofErr w:type="spellEnd"/>
      <w:r>
        <w:rPr>
          <w:rFonts w:ascii="Times New Roman" w:hAnsi="Times New Roman" w:cs="Times New Roman"/>
          <w:sz w:val="24"/>
          <w:szCs w:val="24"/>
        </w:rPr>
        <w:t xml:space="preserve"> pain or new onset of renal insufficiency with serum </w:t>
      </w:r>
      <w:proofErr w:type="spellStart"/>
      <w:r>
        <w:rPr>
          <w:rFonts w:ascii="Times New Roman" w:hAnsi="Times New Roman" w:cs="Times New Roman"/>
          <w:sz w:val="24"/>
          <w:szCs w:val="24"/>
        </w:rPr>
        <w:t>creatinine</w:t>
      </w:r>
      <w:proofErr w:type="spellEnd"/>
      <w:r>
        <w:rPr>
          <w:rFonts w:ascii="Times New Roman" w:hAnsi="Times New Roman" w:cs="Times New Roman"/>
          <w:sz w:val="24"/>
          <w:szCs w:val="24"/>
        </w:rPr>
        <w:t xml:space="preserve"> &gt; 1.1 mg/</w:t>
      </w:r>
      <w:proofErr w:type="spellStart"/>
      <w:r>
        <w:rPr>
          <w:rFonts w:ascii="Times New Roman" w:hAnsi="Times New Roman" w:cs="Times New Roman"/>
          <w:sz w:val="24"/>
          <w:szCs w:val="24"/>
        </w:rPr>
        <w:t>dL</w:t>
      </w:r>
      <w:proofErr w:type="spellEnd"/>
      <w:r>
        <w:rPr>
          <w:rFonts w:ascii="Times New Roman" w:hAnsi="Times New Roman" w:cs="Times New Roman"/>
          <w:sz w:val="24"/>
          <w:szCs w:val="24"/>
        </w:rPr>
        <w:t xml:space="preserve">, doubling serum </w:t>
      </w:r>
      <w:proofErr w:type="spellStart"/>
      <w:r>
        <w:rPr>
          <w:rFonts w:ascii="Times New Roman" w:hAnsi="Times New Roman" w:cs="Times New Roman"/>
          <w:sz w:val="24"/>
          <w:szCs w:val="24"/>
        </w:rPr>
        <w:t>creatinine</w:t>
      </w:r>
      <w:proofErr w:type="spellEnd"/>
      <w:r>
        <w:rPr>
          <w:rFonts w:ascii="Times New Roman" w:hAnsi="Times New Roman" w:cs="Times New Roman"/>
          <w:sz w:val="24"/>
          <w:szCs w:val="24"/>
        </w:rPr>
        <w:t xml:space="preserve"> levels, pulmonary edema, or new onset of cerebral or visual disturbance. Those patient without those mentioned criteria will be labeled as SIP</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&lt;EndNote&gt;&lt;Cite&gt;&lt;Author&gt;Moussa&lt;/Author&gt;&lt;Year&gt;2017&lt;/Year&gt;&lt;RecNum&gt;17&lt;/RecNum&gt;&lt;DisplayText&gt;(2)&lt;/DisplayText&gt;&lt;record&gt;&lt;rec-number&gt;17&lt;/rec-number&gt;&lt;foreign-keys&gt;&lt;key app="EN" db-id="aez2w9td7dvre2ees5ypszf9xez900rafpxz"&gt;17&lt;/key&gt;&lt;/foreign-keys&gt;&lt;ref-type name="Journal Article"&gt;17&lt;/ref-type&gt;&lt;contributors&gt;&lt;authors&gt;&lt;author&gt;Moussa, Hind N&lt;/author&gt;&lt;author&gt;Leon, Mateo G&lt;/author&gt;&lt;author&gt;Marti, Ana&lt;/author&gt;&lt;author&gt;Chediak, Alissar&lt;/author&gt;&lt;author&gt;Pedroza, Claudia&lt;/author&gt;&lt;author&gt;Blackwell, Sean C&lt;/author&gt;&lt;author&gt;Sibai, Baha M&lt;/author&gt;&lt;/authors&gt;&lt;/contributors&gt;&lt;titles&gt;&lt;title&gt;Pregnancy outcomes in women with preeclampsia superimposed on chronic hypertension with and without severe features&lt;/title&gt;&lt;secondary-title&gt;American journal of perinatology&lt;/secondary-title&gt;&lt;/titles&gt;&lt;periodical&gt;&lt;full-title&gt;American journal of perinatology&lt;/full-title&gt;&lt;/periodical&gt;&lt;pages&gt;403-408&lt;/pages&gt;&lt;volume&gt;34&lt;/volume&gt;&lt;number&gt;04&lt;/number&gt;&lt;dates&gt;&lt;year&gt;2017&lt;/year&gt;&lt;/dates&gt;&lt;isbn&gt;0735-1631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2" w:tooltip="Moussa, 2017 #17" w:history="1">
        <w:r>
          <w:rPr>
            <w:rFonts w:ascii="Times New Roman" w:hAnsi="Times New Roman" w:cs="Times New Roman"/>
            <w:sz w:val="24"/>
            <w:szCs w:val="24"/>
          </w:rPr>
          <w:t>2</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2C49A7" w:rsidRDefault="00247361">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In one systematic review and meta-analysis where 55 eligible study encompassing 795,221 pregnancies, they found out the incidence of super imposed preeclampsia to be 25.9%, CS rate of 41.4% , preterm delivery of 28.1 % , SGA of 16.9% , NICU admission of 20.5% and perinatal death of 4%</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&lt;EndNote&gt;&lt;Cite&gt;&lt;Author&gt;Bramham&lt;/Author&gt;&lt;Year&gt;2020&lt;/Year&gt;&lt;RecNum&gt;54&lt;/RecNum&gt;&lt;DisplayText&gt;(3)&lt;/DisplayText&gt;&lt;record&gt;&lt;rec-number&gt;54&lt;/rec-number&gt;&lt;foreign-keys&gt;&lt;key app="EN" db-id="aez2w9td7dvre2ees5ypszf9xez900rafpxz"&gt;54&lt;/key&gt;&lt;/foreign-keys&gt;&lt;ref-type name="Journal Article"&gt;17&lt;/ref-type&gt;&lt;contributors&gt;&lt;authors&gt;&lt;author&gt;Bramham, Kate&lt;/author&gt;&lt;author&gt;Villa, Pia M&lt;/author&gt;&lt;author&gt;Joslin, Jennifer R&lt;/author&gt;&lt;author&gt;Laivuori, Hannele&lt;/author&gt;&lt;author&gt;Hämäläinen, Esa&lt;/author&gt;&lt;author&gt;Kajantie, Eero&lt;/author&gt;&lt;author&gt;Räikkönen, Katri&lt;/author&gt;&lt;author&gt;Pesonen, Anukatriina&lt;/author&gt;&lt;author&gt;Seed, Paul&lt;/author&gt;&lt;author&gt;Dalton, R Neil&lt;/author&gt;&lt;/authors&gt;&lt;/contributors&gt;&lt;titles&gt;&lt;title&gt;Predisposition to superimposed preeclampsia in women with chronic hypertension: endothelial, renal, cardiac, and placental factors in a prospective longitudinal cohort&lt;/title&gt;&lt;secondary-title&gt;Hypertension in Pregnancy&lt;/secondary-title&gt;&lt;/titles&gt;&lt;periodical&gt;&lt;full-title&gt;Hypertension in pregnancy&lt;/full-title&gt;&lt;/periodical&gt;&lt;pages&gt;1-10&lt;/pages&gt;&lt;dates&gt;&lt;year&gt;2020&lt;/year&gt;&lt;/dates&gt;&lt;isbn&gt;1064-1955&lt;/isbn&gt;&lt;urls&gt;&lt;/urls&gt;&lt;/record&gt;&lt;/Cite&gt;&lt;/EndNote&gt;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w:t>
      </w:r>
      <w:hyperlink w:anchor="_ENREF_3" w:tooltip="Bramham, 2020 #54" w:history="1">
        <w:r>
          <w:rPr>
            <w:rFonts w:ascii="Times New Roman" w:hAnsi="Times New Roman" w:cs="Times New Roman"/>
            <w:color w:val="000000"/>
            <w:sz w:val="24"/>
            <w:szCs w:val="24"/>
          </w:rPr>
          <w:t>3</w:t>
        </w:r>
      </w:hyperlink>
      <w:r>
        <w:rPr>
          <w:rFonts w:ascii="Times New Roman" w:hAnsi="Times New Roman" w:cs="Times New Roman"/>
          <w:color w:val="000000"/>
          <w:sz w:val="24"/>
          <w:szCs w:val="24"/>
        </w:rPr>
        <w:t>)</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w:t>
      </w:r>
    </w:p>
    <w:p w:rsidR="002C49A7" w:rsidRDefault="00247361">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retrospective cohort study done in department of obstetrics and gynecology, faculty of medicine, </w:t>
      </w:r>
      <w:proofErr w:type="spellStart"/>
      <w:r>
        <w:rPr>
          <w:rFonts w:ascii="Times New Roman" w:hAnsi="Times New Roman" w:cs="Times New Roman"/>
          <w:color w:val="000000"/>
          <w:sz w:val="24"/>
          <w:szCs w:val="24"/>
        </w:rPr>
        <w:t>siriraj</w:t>
      </w:r>
      <w:proofErr w:type="spellEnd"/>
      <w:r>
        <w:rPr>
          <w:rFonts w:ascii="Times New Roman" w:hAnsi="Times New Roman" w:cs="Times New Roman"/>
          <w:color w:val="000000"/>
          <w:sz w:val="24"/>
          <w:szCs w:val="24"/>
        </w:rPr>
        <w:t xml:space="preserve"> hospital where 300 pregnant women with chronic hypertension included the incidence of super imposed preeclampsia was 43.3%. Women with superimposed preeclampsia had significantly lower mean GA at delivery (35.5 ± 3.3) and neonatal birth weight (2544.0 ± 841.6)</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&lt;EndNote&gt;&lt;Cite&gt;&lt;Author&gt;Boriboonhirunsarn&lt;/Author&gt;&lt;Year&gt;2017&lt;/Year&gt;&lt;RecNum&gt;20&lt;/RecNum&gt;&lt;DisplayText&gt;(4)&lt;/DisplayText&gt;&lt;record&gt;&lt;rec-number&gt;20&lt;/rec-number&gt;&lt;foreign-keys&gt;&lt;key app="EN" db-id="aez2w9td7dvre2ees5ypszf9xez900rafpxz"&gt;20&lt;/key&gt;&lt;/foreign-keys&gt;&lt;ref-type name="Journal Article"&gt;17&lt;/ref-type&gt;&lt;contributors&gt;&lt;authors&gt;&lt;author&gt;Boriboonhirunsarn, Dittakarn&lt;/author&gt;&lt;author&gt;Pradyachaipimol, Apichaya&lt;/author&gt;&lt;author&gt;Viriyapak, Boonlert&lt;/author&gt;&lt;/authors&gt;&lt;/contributors&gt;&lt;titles&gt;&lt;title&gt;Incidence of superimposed preeclampsia among pregnant Asian women with chronic hypertension&lt;/title&gt;&lt;secondary-title&gt;Hypertension in pregnancy&lt;/secondary-title&gt;&lt;/titles&gt;&lt;periodical&gt;&lt;full-title&gt;Hypertension in pregnancy&lt;/full-title&gt;&lt;/periodical&gt;&lt;pages&gt;226-231&lt;/pages&gt;&lt;volume&gt;36&lt;/volume&gt;&lt;number&gt;2&lt;/number&gt;&lt;dates&gt;&lt;year&gt;2017&lt;/year&gt;&lt;/dates&gt;&lt;isbn&gt;1064-1955&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w:t>
      </w:r>
      <w:hyperlink w:anchor="_ENREF_4" w:tooltip="Boriboonhirunsarn, 2017 #20" w:history="1">
        <w:r>
          <w:rPr>
            <w:rFonts w:ascii="Times New Roman" w:hAnsi="Times New Roman" w:cs="Times New Roman"/>
            <w:color w:val="000000"/>
            <w:sz w:val="24"/>
            <w:szCs w:val="24"/>
          </w:rPr>
          <w:t>4</w:t>
        </w:r>
      </w:hyperlink>
      <w:r>
        <w:rPr>
          <w:rFonts w:ascii="Times New Roman" w:hAnsi="Times New Roman" w:cs="Times New Roman"/>
          <w:color w:val="000000"/>
          <w:sz w:val="24"/>
          <w:szCs w:val="24"/>
        </w:rPr>
        <w:t>)</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w:t>
      </w:r>
    </w:p>
    <w:p w:rsidR="002C49A7" w:rsidRDefault="00247361">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 another retrospective cohort study where 1477 women with chronic hypertension and singleton pregnancy involved from 2000-2014, </w:t>
      </w:r>
      <w:r>
        <w:rPr>
          <w:rFonts w:ascii="Times New Roman" w:hAnsi="Times New Roman" w:cs="Times New Roman"/>
          <w:color w:val="000000"/>
          <w:sz w:val="24"/>
          <w:szCs w:val="24"/>
        </w:rPr>
        <w:lastRenderedPageBreak/>
        <w:t>they found out the incidence of superimposed preeclampsia to be 18.9%. In this study the rate of preterm birth , still born and NICU referral was higher</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&lt;EndNote&gt;&lt;Cite&gt;&lt;Author&gt;Becker&lt;/Author&gt;&lt;Year&gt;2018&lt;/Year&gt;&lt;RecNum&gt;37&lt;/RecNum&gt;&lt;DisplayText&gt;(5)&lt;/DisplayText&gt;&lt;record&gt;&lt;rec-number&gt;37&lt;/rec-number&gt;&lt;foreign-keys&gt;&lt;key app="EN" db-id="aez2w9td7dvre2ees5ypszf9xez900rafpxz"&gt;37&lt;/key&gt;&lt;/foreign-keys&gt;&lt;ref-type name="Journal Article"&gt;17&lt;/ref-type&gt;&lt;contributors&gt;&lt;authors&gt;&lt;author&gt;Becker, D. A.&lt;/author&gt;&lt;author&gt;Machemehl, H. C.&lt;/author&gt;&lt;author&gt;Biggio, J. R.&lt;/author&gt;&lt;author&gt;Siegel, A. M.&lt;/author&gt;&lt;author&gt;Tita, A. T.&lt;/author&gt;&lt;author&gt;Harper, L. M.&lt;/author&gt;&lt;/authors&gt;&lt;/contributors&gt;&lt;auth-address&gt;Division of Maternal-Fetal Medicine, Department of Obstetrics and Gynecology, Center for Women&amp;apos;s Reproductive Health, University of Alabama at Birmingham, Birmingham, Alabama.&lt;/auth-address&gt;&lt;titles&gt;&lt;title&gt;Pregnancy Outcomes of Exacerbated Chronic Hypertension Compared with Superimposed Preeclampsia&lt;/title&gt;&lt;secondary-title&gt;Am J Perinatol&lt;/secondary-title&gt;&lt;alt-title&gt;American journal of perinatology&lt;/alt-title&gt;&lt;/titles&gt;&lt;alt-periodical&gt;&lt;full-title&gt;American journal of perinatology&lt;/full-title&gt;&lt;/alt-periodical&gt;&lt;dates&gt;&lt;year&gt;2018&lt;/year&gt;&lt;pub-dates&gt;&lt;date&gt;Nov 5&lt;/date&gt;&lt;/pub-dates&gt;&lt;/dates&gt;&lt;isbn&gt;1098-8785 (Electronic)&amp;#xD;0735-1631 (Linking)&lt;/isbn&gt;&lt;accession-num&gt;30396224&lt;/accession-num&gt;&lt;urls&gt;&lt;related-urls&gt;&lt;url&gt;http://www.ncbi.nlm.nih.gov/pubmed/30396224&lt;/url&gt;&lt;/related-urls&gt;&lt;/urls&gt;&lt;electronic-resource-num&gt;10.1055/s-0038-1675160&lt;/electronic-resource-num&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w:t>
      </w:r>
      <w:hyperlink w:anchor="_ENREF_5" w:tooltip="Becker, 2018 #37" w:history="1">
        <w:r>
          <w:rPr>
            <w:rFonts w:ascii="Times New Roman" w:hAnsi="Times New Roman" w:cs="Times New Roman"/>
            <w:color w:val="000000"/>
            <w:sz w:val="24"/>
            <w:szCs w:val="24"/>
          </w:rPr>
          <w:t>5</w:t>
        </w:r>
      </w:hyperlink>
      <w:r>
        <w:rPr>
          <w:rFonts w:ascii="Times New Roman" w:hAnsi="Times New Roman" w:cs="Times New Roman"/>
          <w:color w:val="000000"/>
          <w:sz w:val="24"/>
          <w:szCs w:val="24"/>
        </w:rPr>
        <w:t>)</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w:t>
      </w:r>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systematic review and meta-analysis done in Africa where 82 studies included which was published between 1997 and 2017 reporting data on a pooled sample of 854,304 women who were either pregnant or had delivered. All studies were hospital-based studies carried out in 24 countries. In this population of women, the prevalence of hypertensive disorders of pregnancy was 49.8% (95% CI: 32.3–70.7) for gestational hypertension, 14.7‰ (95%CI: 11.6–18.2) for chronic hypertension, 9.2% (95% CI: 4.2–16.0) for superimposed preeclampsia, 44.0% (95%CI: 36.7–52.0) for preeclampsia, 22.1‰ (95%CI: 14.8–30.8) for severe preeclampsia, 14.7% (95% CI: 8.1–23.2) for </w:t>
      </w:r>
      <w:proofErr w:type="spellStart"/>
      <w:r>
        <w:rPr>
          <w:rFonts w:ascii="Times New Roman" w:hAnsi="Times New Roman" w:cs="Times New Roman"/>
          <w:sz w:val="24"/>
          <w:szCs w:val="24"/>
        </w:rPr>
        <w:t>eclampsia</w:t>
      </w:r>
      <w:proofErr w:type="spellEnd"/>
      <w:r>
        <w:rPr>
          <w:rFonts w:ascii="Times New Roman" w:hAnsi="Times New Roman" w:cs="Times New Roman"/>
          <w:sz w:val="24"/>
          <w:szCs w:val="24"/>
        </w:rPr>
        <w:t xml:space="preserve"> and 2.2% (95% CI: 1.2–3.4) for HELLP syndrome</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&lt;EndNote&gt;&lt;Cite&gt;&lt;Author&gt;flore Nyaga&lt;/Author&gt;&lt;Year&gt;2018&lt;/Year&gt;&lt;RecNum&gt;1&lt;/RecNum&gt;&lt;DisplayText&gt;(6)&lt;/DisplayText&gt;&lt;record&gt;&lt;rec-number&gt;1&lt;/rec-number&gt;&lt;foreign-keys&gt;&lt;key app="EN" db-id="aez2w9td7dvre2ees5ypszf9xez900rafpxz"&gt;1&lt;/key&gt;&lt;/foreign-keys&gt;&lt;ref-type name="Journal Article"&gt;17&lt;/ref-type&gt;&lt;contributors&gt;&lt;authors&gt;&lt;author&gt;flore Nyaga, Ulrich&lt;/author&gt;&lt;author&gt;Bigna, Jean Joel&lt;/author&gt;&lt;author&gt;Jingi, Ahmadou M&lt;/author&gt;&lt;author&gt;Nansseu, Jobert Richie&lt;/author&gt;&lt;author&gt;Kaze, Arnaud D&lt;/author&gt;&lt;author&gt;Fokom-Domgue, Joel&lt;/author&gt;&lt;author&gt;Noubiap, Jean Jacques&lt;/author&gt;&lt;/authors&gt;&lt;/contributors&gt;&lt;titles&gt;&lt;title&gt;A17575 Hypertensive disorders of pregnancy in Africa: a systematic review and meta-analysis&lt;/title&gt;&lt;secondary-title&gt;Journal of Hypertension&lt;/secondary-title&gt;&lt;/titles&gt;&lt;periodical&gt;&lt;full-title&gt;Journal of Hypertension&lt;/full-title&gt;&lt;/periodical&gt;&lt;pages&gt;e250-e251&lt;/pages&gt;&lt;volume&gt;36&lt;/volume&gt;&lt;dates&gt;&lt;year&gt;2018&lt;/year&gt;&lt;/dates&gt;&lt;isbn&gt;0263-6352&lt;/isbn&gt;&lt;urls&gt;&lt;/urls&gt;&lt;/record&gt;&lt;/Cite&gt;&lt;/EndNote&gt;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6" w:tooltip="flore Nyaga, 2018 #1" w:history="1">
        <w:r>
          <w:rPr>
            <w:rFonts w:ascii="Times New Roman" w:hAnsi="Times New Roman" w:cs="Times New Roman"/>
            <w:sz w:val="24"/>
            <w:szCs w:val="24"/>
          </w:rPr>
          <w:t>6</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2C49A7" w:rsidRDefault="00247361">
      <w:pPr>
        <w:spacing w:line="360" w:lineRule="auto"/>
        <w:jc w:val="both"/>
        <w:rPr>
          <w:rFonts w:ascii="Times New Roman" w:hAnsi="Times New Roman" w:cs="Times New Roman"/>
          <w:color w:val="202020"/>
          <w:sz w:val="24"/>
          <w:szCs w:val="24"/>
          <w:shd w:val="clear" w:color="auto" w:fill="FFFFFF"/>
        </w:rPr>
      </w:pPr>
      <w:r>
        <w:rPr>
          <w:rFonts w:ascii="Times New Roman" w:hAnsi="Times New Roman" w:cs="Times New Roman"/>
          <w:color w:val="202020"/>
          <w:sz w:val="24"/>
          <w:szCs w:val="24"/>
          <w:shd w:val="clear" w:color="auto" w:fill="FFFFFF"/>
        </w:rPr>
        <w:t>Multiple observational studies reported a prevalence of preeclampsia in Ethiopia ranging from 4 to 12%</w:t>
      </w:r>
      <w:r>
        <w:rPr>
          <w:rFonts w:ascii="Times New Roman" w:hAnsi="Times New Roman" w:cs="Times New Roman"/>
          <w:color w:val="202020"/>
          <w:sz w:val="24"/>
          <w:szCs w:val="24"/>
          <w:shd w:val="clear" w:color="auto" w:fill="FFFFFF"/>
        </w:rPr>
        <w:fldChar w:fldCharType="begin"/>
      </w:r>
      <w:r>
        <w:rPr>
          <w:rFonts w:ascii="Times New Roman" w:hAnsi="Times New Roman" w:cs="Times New Roman"/>
          <w:color w:val="202020"/>
          <w:sz w:val="24"/>
          <w:szCs w:val="24"/>
          <w:shd w:val="clear" w:color="auto" w:fill="FFFFFF"/>
        </w:rPr>
        <w:instrText xml:space="preserve"> ADDIN  EN.CITE &lt;EndNote&gt;&lt;Cite&gt;&lt;Author&gt;Assefa&lt;/Author&gt;&lt;Year&gt;2019&lt;/Year&gt;&lt;RecNum&gt;5&lt;/RecNum&gt;&lt;DisplayText&gt;(7)&lt;/DisplayText&gt;&lt;record&gt;&lt;rec-number&gt;5&lt;/rec-number&gt;&lt;foreign-keys&gt;&lt;key app="EN" db-id="aez2w9td7dvre2ees5ypszf9xez900rafpxz"&gt;5&lt;/key&gt;&lt;/foreign-keys&gt;&lt;ref-type name="Conference Proceedings"&gt;10&lt;/ref-type&gt;&lt;contributors&gt;&lt;authors&gt;&lt;author&gt;Assefa, Nega&lt;/author&gt;&lt;author&gt;Mengistie, Bizatu&lt;/author&gt;&lt;/authors&gt;&lt;/contributors&gt;&lt;titles&gt;&lt;title&gt;Prevalence of hypertensive disease of pregnancy and pregnancy outcomes in sub-Saharan Africa: a systemic review and meta-analysis&lt;/title&gt;&lt;secondary-title&gt;30th EPHA Annual Conference&lt;/secondary-title&gt;&lt;/titles&gt;&lt;dates&gt;&lt;year&gt;2019&lt;/year&gt;&lt;/dates&gt;&lt;urls&gt;&lt;/urls&gt;&lt;/record&gt;&lt;/Cite&gt;&lt;/EndNote&gt;</w:instrText>
      </w:r>
      <w:r>
        <w:rPr>
          <w:rFonts w:ascii="Times New Roman" w:hAnsi="Times New Roman" w:cs="Times New Roman"/>
          <w:color w:val="202020"/>
          <w:sz w:val="24"/>
          <w:szCs w:val="24"/>
          <w:shd w:val="clear" w:color="auto" w:fill="FFFFFF"/>
        </w:rPr>
        <w:fldChar w:fldCharType="separate"/>
      </w:r>
      <w:r>
        <w:rPr>
          <w:rFonts w:ascii="Times New Roman" w:hAnsi="Times New Roman" w:cs="Times New Roman"/>
          <w:color w:val="202020"/>
          <w:sz w:val="24"/>
          <w:szCs w:val="24"/>
          <w:shd w:val="clear" w:color="auto" w:fill="FFFFFF"/>
        </w:rPr>
        <w:t>(</w:t>
      </w:r>
      <w:hyperlink w:anchor="_ENREF_7" w:tooltip="Assefa, 2019 #5" w:history="1">
        <w:r>
          <w:rPr>
            <w:rFonts w:ascii="Times New Roman" w:hAnsi="Times New Roman" w:cs="Times New Roman"/>
            <w:color w:val="202020"/>
            <w:sz w:val="24"/>
            <w:szCs w:val="24"/>
            <w:shd w:val="clear" w:color="auto" w:fill="FFFFFF"/>
          </w:rPr>
          <w:t>7</w:t>
        </w:r>
      </w:hyperlink>
      <w:r>
        <w:rPr>
          <w:rFonts w:ascii="Times New Roman" w:hAnsi="Times New Roman" w:cs="Times New Roman"/>
          <w:color w:val="202020"/>
          <w:sz w:val="24"/>
          <w:szCs w:val="24"/>
          <w:shd w:val="clear" w:color="auto" w:fill="FFFFFF"/>
        </w:rPr>
        <w:t>)</w:t>
      </w:r>
      <w:r>
        <w:rPr>
          <w:rFonts w:ascii="Times New Roman" w:hAnsi="Times New Roman" w:cs="Times New Roman"/>
          <w:color w:val="202020"/>
          <w:sz w:val="24"/>
          <w:szCs w:val="24"/>
          <w:shd w:val="clear" w:color="auto" w:fill="FFFFFF"/>
        </w:rPr>
        <w:fldChar w:fldCharType="end"/>
      </w:r>
      <w:r>
        <w:rPr>
          <w:rFonts w:ascii="Times New Roman" w:hAnsi="Times New Roman" w:cs="Times New Roman"/>
          <w:color w:val="202020"/>
          <w:sz w:val="24"/>
          <w:szCs w:val="24"/>
          <w:shd w:val="clear" w:color="auto" w:fill="FFFFFF"/>
        </w:rPr>
        <w:t xml:space="preserve"> and contribute to 15% maternal deaths</w:t>
      </w:r>
      <w:r>
        <w:rPr>
          <w:rFonts w:ascii="Times New Roman" w:hAnsi="Times New Roman" w:cs="Times New Roman"/>
          <w:color w:val="202020"/>
          <w:sz w:val="24"/>
          <w:szCs w:val="24"/>
          <w:shd w:val="clear" w:color="auto" w:fill="FFFFFF"/>
        </w:rPr>
        <w:fldChar w:fldCharType="begin"/>
      </w:r>
      <w:r>
        <w:rPr>
          <w:rFonts w:ascii="Times New Roman" w:hAnsi="Times New Roman" w:cs="Times New Roman"/>
          <w:color w:val="202020"/>
          <w:sz w:val="24"/>
          <w:szCs w:val="24"/>
          <w:shd w:val="clear" w:color="auto" w:fill="FFFFFF"/>
        </w:rPr>
        <w:instrText xml:space="preserve"> ADDIN  EN.CITE &lt;EndNote&gt;&lt;Cite&gt;&lt;Author&gt;Tesfaye&lt;/Author&gt;&lt;Year&gt;2018&lt;/Year&gt;&lt;RecNum&gt;34&lt;/RecNum&gt;&lt;DisplayText&gt;(8)&lt;/DisplayText&gt;&lt;record&gt;&lt;rec-number&gt;34&lt;/rec-number&gt;&lt;foreign-keys&gt;&lt;key app="EN" db-id="aez2w9td7dvre2ees5ypszf9xez900rafpxz"&gt;34&lt;/key&gt;&lt;/foreign-keys&gt;&lt;ref-type name="Journal Article"&gt;17&lt;/ref-type&gt;&lt;contributors&gt;&lt;authors&gt;&lt;author&gt;Tesfaye, Gezahegn&lt;/author&gt;&lt;author&gt;Loxton, Deborah&lt;/author&gt;&lt;author&gt;Chojenta, Catherine&lt;/author&gt;&lt;author&gt;Assefa, Nega&lt;/author&gt;&lt;author&gt;Smith, Roger&lt;/author&gt;&lt;/authors&gt;&lt;/contributors&gt;&lt;titles&gt;&lt;title&gt;Magnitude, trends and causes of maternal mortality among reproductive aged women in Kersa health and demographic surveillance system, eastern Ethiopia&lt;/title&gt;&lt;secondary-title&gt;BMC women&amp;apos;s health&lt;/secondary-title&gt;&lt;/titles&gt;&lt;periodical&gt;&lt;full-title&gt;BMC women&amp;apos;s health&lt;/full-title&gt;&lt;/periodical&gt;&lt;pages&gt;198&lt;/pages&gt;&lt;volume&gt;18&lt;/volume&gt;&lt;number&gt;1&lt;/number&gt;&lt;dates&gt;&lt;year&gt;2018&lt;/year&gt;&lt;/dates&gt;&lt;isbn&gt;1472-6874&lt;/isbn&gt;&lt;urls&gt;&lt;/urls&gt;&lt;/record&gt;&lt;/Cite&gt;&lt;/EndNote&gt;</w:instrText>
      </w:r>
      <w:r>
        <w:rPr>
          <w:rFonts w:ascii="Times New Roman" w:hAnsi="Times New Roman" w:cs="Times New Roman"/>
          <w:color w:val="202020"/>
          <w:sz w:val="24"/>
          <w:szCs w:val="24"/>
          <w:shd w:val="clear" w:color="auto" w:fill="FFFFFF"/>
        </w:rPr>
        <w:fldChar w:fldCharType="separate"/>
      </w:r>
      <w:r>
        <w:rPr>
          <w:rFonts w:ascii="Times New Roman" w:hAnsi="Times New Roman" w:cs="Times New Roman"/>
          <w:color w:val="202020"/>
          <w:sz w:val="24"/>
          <w:szCs w:val="24"/>
          <w:shd w:val="clear" w:color="auto" w:fill="FFFFFF"/>
        </w:rPr>
        <w:t>(</w:t>
      </w:r>
      <w:hyperlink w:anchor="_ENREF_8" w:tooltip="Tesfaye, 2018 #34" w:history="1">
        <w:r>
          <w:rPr>
            <w:rFonts w:ascii="Times New Roman" w:hAnsi="Times New Roman" w:cs="Times New Roman"/>
            <w:color w:val="202020"/>
            <w:sz w:val="24"/>
            <w:szCs w:val="24"/>
            <w:shd w:val="clear" w:color="auto" w:fill="FFFFFF"/>
          </w:rPr>
          <w:t>8</w:t>
        </w:r>
      </w:hyperlink>
      <w:r>
        <w:rPr>
          <w:rFonts w:ascii="Times New Roman" w:hAnsi="Times New Roman" w:cs="Times New Roman"/>
          <w:color w:val="202020"/>
          <w:sz w:val="24"/>
          <w:szCs w:val="24"/>
          <w:shd w:val="clear" w:color="auto" w:fill="FFFFFF"/>
        </w:rPr>
        <w:t>)</w:t>
      </w:r>
      <w:r>
        <w:rPr>
          <w:rFonts w:ascii="Times New Roman" w:hAnsi="Times New Roman" w:cs="Times New Roman"/>
          <w:color w:val="202020"/>
          <w:sz w:val="24"/>
          <w:szCs w:val="24"/>
          <w:shd w:val="clear" w:color="auto" w:fill="FFFFFF"/>
        </w:rPr>
        <w:fldChar w:fldCharType="end"/>
      </w:r>
      <w:bookmarkStart w:id="0" w:name="_ENREF_4"/>
      <w:bookmarkStart w:id="1" w:name="_ENREF_9"/>
      <w:bookmarkStart w:id="2" w:name="_ENREF_12"/>
      <w:bookmarkStart w:id="3" w:name="_ENREF_10"/>
      <w:bookmarkStart w:id="4" w:name="_ENREF_3"/>
      <w:bookmarkStart w:id="5" w:name="_ENREF_11"/>
      <w:bookmarkStart w:id="6" w:name="_ENREF_5"/>
      <w:bookmarkStart w:id="7" w:name="_ENREF_1"/>
      <w:bookmarkStart w:id="8" w:name="_ENREF_6"/>
      <w:bookmarkStart w:id="9" w:name="_ENREF_15"/>
      <w:bookmarkStart w:id="10" w:name="_ENREF_13"/>
      <w:bookmarkStart w:id="11" w:name="_ENREF_7"/>
      <w:bookmarkStart w:id="12" w:name="_ENREF_14"/>
      <w:bookmarkStart w:id="13" w:name="_ENREF_8"/>
      <w:bookmarkStart w:id="14" w:name="_ENREF_2"/>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Fonts w:ascii="Times New Roman" w:hAnsi="Times New Roman" w:cs="Times New Roman"/>
          <w:color w:val="202020"/>
          <w:sz w:val="24"/>
          <w:szCs w:val="24"/>
          <w:shd w:val="clear" w:color="auto" w:fill="FFFFFF"/>
        </w:rPr>
        <w:t>. In five year’s retrospective review of the perinatal outcome at three teaching hospitals in Ethiopia, preeclampsia contributed to perinatal mortality of 290/1000 total births</w:t>
      </w:r>
      <w:r>
        <w:rPr>
          <w:rFonts w:ascii="Times New Roman" w:hAnsi="Times New Roman" w:cs="Times New Roman"/>
          <w:color w:val="202020"/>
          <w:sz w:val="24"/>
          <w:szCs w:val="24"/>
          <w:shd w:val="clear" w:color="auto" w:fill="FFFFFF"/>
        </w:rPr>
        <w:fldChar w:fldCharType="begin"/>
      </w:r>
      <w:r>
        <w:rPr>
          <w:rFonts w:ascii="Times New Roman" w:hAnsi="Times New Roman" w:cs="Times New Roman"/>
          <w:color w:val="202020"/>
          <w:sz w:val="24"/>
          <w:szCs w:val="24"/>
          <w:shd w:val="clear" w:color="auto" w:fill="FFFFFF"/>
        </w:rPr>
        <w:instrText xml:space="preserve"> ADDIN  EN.CITE &lt;EndNote&gt;&lt;Cite&gt;&lt;Author&gt;Belay Tolu&lt;/Author&gt;&lt;Year&gt;2020&lt;/Year&gt;&lt;RecNum&gt;12&lt;/RecNum&gt;&lt;DisplayText&gt;(9)&lt;/DisplayText&gt;&lt;record&gt;&lt;rec-number&gt;12&lt;/rec-number&gt;&lt;foreign-keys&gt;&lt;key app="EN" db-id="aez2w9td7dvre2ees5ypszf9xez900rafpxz"&gt;12&lt;/key&gt;&lt;/foreign-keys&gt;&lt;ref-type name="Journal Article"&gt;17&lt;/ref-type&gt;&lt;contributors&gt;&lt;authors&gt;&lt;author&gt;Belay Tolu, Lemi&lt;/author&gt;&lt;author&gt;Yigezu, Endale&lt;/author&gt;&lt;author&gt;Urgie, Tadesse&lt;/author&gt;&lt;author&gt;Feyissa, Garumma Tolu&lt;/author&gt;&lt;/authors&gt;&lt;/contributors&gt;&lt;titles&gt;&lt;title&gt;Maternal and perinatal outcome of preeclampsia without severe feature among pregnant women managed at a tertiary referral hospital in urban Ethiopia&lt;/title&gt;&lt;secondary-title&gt;Plos one&lt;/secondary-title&gt;&lt;/titles&gt;&lt;periodical&gt;&lt;full-title&gt;PloS one&lt;/full-title&gt;&lt;/periodical&gt;&lt;pages&gt;e0230638&lt;/pages&gt;&lt;volume&gt;15&lt;/volume&gt;&lt;number&gt;4&lt;/number&gt;&lt;dates&gt;&lt;year&gt;2020&lt;/year&gt;&lt;/dates&gt;&lt;isbn&gt;1932-6203&lt;/isbn&gt;&lt;urls&gt;&lt;/urls&gt;&lt;/record&gt;&lt;/Cite&gt;&lt;/EndNote&gt;</w:instrText>
      </w:r>
      <w:r>
        <w:rPr>
          <w:rFonts w:ascii="Times New Roman" w:hAnsi="Times New Roman" w:cs="Times New Roman"/>
          <w:color w:val="202020"/>
          <w:sz w:val="24"/>
          <w:szCs w:val="24"/>
          <w:shd w:val="clear" w:color="auto" w:fill="FFFFFF"/>
        </w:rPr>
        <w:fldChar w:fldCharType="separate"/>
      </w:r>
      <w:r>
        <w:rPr>
          <w:rFonts w:ascii="Times New Roman" w:hAnsi="Times New Roman" w:cs="Times New Roman"/>
          <w:color w:val="202020"/>
          <w:sz w:val="24"/>
          <w:szCs w:val="24"/>
          <w:shd w:val="clear" w:color="auto" w:fill="FFFFFF"/>
        </w:rPr>
        <w:t>(</w:t>
      </w:r>
      <w:hyperlink w:anchor="_ENREF_9" w:tooltip="Belay Tolu, 2020 #12" w:history="1">
        <w:r>
          <w:rPr>
            <w:rFonts w:ascii="Times New Roman" w:hAnsi="Times New Roman" w:cs="Times New Roman"/>
            <w:color w:val="202020"/>
            <w:sz w:val="24"/>
            <w:szCs w:val="24"/>
            <w:shd w:val="clear" w:color="auto" w:fill="FFFFFF"/>
          </w:rPr>
          <w:t>9</w:t>
        </w:r>
      </w:hyperlink>
      <w:r>
        <w:rPr>
          <w:rFonts w:ascii="Times New Roman" w:hAnsi="Times New Roman" w:cs="Times New Roman"/>
          <w:color w:val="202020"/>
          <w:sz w:val="24"/>
          <w:szCs w:val="24"/>
          <w:shd w:val="clear" w:color="auto" w:fill="FFFFFF"/>
        </w:rPr>
        <w:t>)</w:t>
      </w:r>
      <w:r>
        <w:rPr>
          <w:rFonts w:ascii="Times New Roman" w:hAnsi="Times New Roman" w:cs="Times New Roman"/>
          <w:color w:val="202020"/>
          <w:sz w:val="24"/>
          <w:szCs w:val="24"/>
          <w:shd w:val="clear" w:color="auto" w:fill="FFFFFF"/>
        </w:rPr>
        <w:fldChar w:fldCharType="end"/>
      </w:r>
      <w:r>
        <w:rPr>
          <w:rFonts w:ascii="Times New Roman" w:hAnsi="Times New Roman" w:cs="Times New Roman"/>
          <w:color w:val="202020"/>
          <w:sz w:val="24"/>
          <w:szCs w:val="24"/>
          <w:shd w:val="clear" w:color="auto" w:fill="FFFFFF"/>
        </w:rPr>
        <w:t>.</w:t>
      </w:r>
      <w:r>
        <w:rPr>
          <w:rFonts w:ascii="Times New Roman" w:hAnsi="Times New Roman" w:cs="Times New Roman"/>
          <w:color w:val="202020"/>
          <w:sz w:val="24"/>
          <w:szCs w:val="24"/>
          <w:shd w:val="clear" w:color="auto" w:fill="FFFFFF"/>
        </w:rPr>
        <w:fldChar w:fldCharType="begin"/>
      </w:r>
      <w:r>
        <w:rPr>
          <w:rFonts w:ascii="Times New Roman" w:hAnsi="Times New Roman" w:cs="Times New Roman"/>
          <w:color w:val="202020"/>
          <w:sz w:val="24"/>
          <w:szCs w:val="24"/>
          <w:shd w:val="clear" w:color="auto" w:fill="FFFFFF"/>
        </w:rPr>
        <w:fldChar w:fldCharType="separate"/>
      </w:r>
      <w:r>
        <w:rPr>
          <w:rFonts w:ascii="Times New Roman" w:hAnsi="Times New Roman" w:cs="Times New Roman"/>
          <w:color w:val="202020"/>
          <w:sz w:val="24"/>
          <w:szCs w:val="24"/>
          <w:shd w:val="clear" w:color="auto" w:fill="FFFFFF"/>
        </w:rPr>
        <w:t>{Mekonnen, 2018 #35;Belay Tolu, 2020 #12;Berhan, 2015 #70}</w:t>
      </w:r>
      <w:r>
        <w:rPr>
          <w:rFonts w:ascii="Times New Roman" w:hAnsi="Times New Roman" w:cs="Times New Roman"/>
          <w:color w:val="202020"/>
          <w:sz w:val="24"/>
          <w:szCs w:val="24"/>
          <w:shd w:val="clear" w:color="auto" w:fill="FFFFFF"/>
        </w:rPr>
        <w:fldChar w:fldCharType="end"/>
      </w:r>
      <w:r>
        <w:rPr>
          <w:rFonts w:ascii="Times New Roman" w:hAnsi="Times New Roman" w:cs="Times New Roman"/>
          <w:color w:val="202020"/>
          <w:sz w:val="24"/>
          <w:szCs w:val="24"/>
          <w:shd w:val="clear" w:color="auto" w:fill="FFFFFF"/>
        </w:rPr>
        <w:fldChar w:fldCharType="begin"/>
      </w:r>
      <w:r>
        <w:rPr>
          <w:rFonts w:ascii="Times New Roman" w:hAnsi="Times New Roman" w:cs="Times New Roman"/>
          <w:color w:val="202020"/>
          <w:sz w:val="24"/>
          <w:szCs w:val="24"/>
          <w:shd w:val="clear" w:color="auto" w:fill="FFFFFF"/>
        </w:rPr>
        <w:fldChar w:fldCharType="separate"/>
      </w:r>
      <w:r>
        <w:rPr>
          <w:rFonts w:ascii="Times New Roman" w:hAnsi="Times New Roman" w:cs="Times New Roman"/>
          <w:color w:val="202020"/>
          <w:sz w:val="24"/>
          <w:szCs w:val="24"/>
          <w:shd w:val="clear" w:color="auto" w:fill="FFFFFF"/>
        </w:rPr>
        <w:t>{Belay Tolu, 2020 #12;Berhan, 2015 #70;Mekonnen, 2018 #35}</w:t>
      </w:r>
      <w:r>
        <w:rPr>
          <w:rFonts w:ascii="Times New Roman" w:hAnsi="Times New Roman" w:cs="Times New Roman"/>
          <w:color w:val="202020"/>
          <w:sz w:val="24"/>
          <w:szCs w:val="24"/>
          <w:shd w:val="clear" w:color="auto" w:fill="FFFFFF"/>
        </w:rPr>
        <w:fldChar w:fldCharType="end"/>
      </w:r>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sz w:val="24"/>
          <w:szCs w:val="24"/>
        </w:rPr>
        <w:t>HDP is the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leading causes of maternal death in Ethiopia (16.9%), exceeded by obstetric hemorrhage (29.9%) and obstructed labor </w:t>
      </w:r>
      <w:r>
        <w:rPr>
          <w:rFonts w:ascii="Times New Roman" w:hAnsi="Times New Roman" w:cs="Times New Roman"/>
          <w:sz w:val="24"/>
          <w:szCs w:val="24"/>
        </w:rPr>
        <w:lastRenderedPageBreak/>
        <w:t>(22.34%). Likewise chronic hypertension poses significant morbidity and mortality to both the mother and fetus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&lt;EndNote&gt;&lt;Cite&gt;&lt;Author&gt;Berhan&lt;/Author&gt;&lt;Year&gt;2015&lt;/Year&gt;&lt;RecNum&gt;70&lt;/RecNum&gt;&lt;DisplayText&gt;(10, 11)&lt;/DisplayText&gt;&lt;record&gt;&lt;rec-number&gt;70&lt;/rec-number&gt;&lt;foreign-keys&gt;&lt;key app="EN" db-id="aez2w9td7dvre2ees5ypszf9xez900rafpxz"&gt;70&lt;/key&gt;&lt;/foreign-keys&gt;&lt;ref-type name="Journal Article"&gt;17&lt;/ref-type&gt;&lt;contributors&gt;&lt;authors&gt;&lt;author&gt;Berhan, Yifru&lt;/author&gt;&lt;author&gt;Endeshaw, Gezahegn&lt;/author&gt;&lt;/authors&gt;&lt;/contributors&gt;&lt;titles&gt;&lt;title&gt;Maternal mortality predictors in women with hypertensive disorders of pregnancy: a retrospective cohort study&lt;/title&gt;&lt;secondary-title&gt;Ethiopian journal of health sciences&lt;/secondary-title&gt;&lt;/titles&gt;&lt;periodical&gt;&lt;full-title&gt;Ethiopian journal of health sciences&lt;/full-title&gt;&lt;/periodical&gt;&lt;pages&gt;89-98&lt;/pages&gt;&lt;volume&gt;25&lt;/volume&gt;&lt;number&gt;1&lt;/number&gt;&lt;dates&gt;&lt;year&gt;2015&lt;/year&gt;&lt;/dates&gt;&lt;isbn&gt;1029-1857&lt;/isbn&gt;&lt;urls&gt;&lt;/urls&gt;&lt;/record&gt;&lt;/Cite&gt;&lt;Cite&gt;&lt;Author&gt;Mekonnen&lt;/Author&gt;&lt;Year&gt;2018&lt;/Year&gt;&lt;RecNum&gt;35&lt;/RecNum&gt;&lt;record&gt;&lt;rec-number&gt;35&lt;/rec-number&gt;&lt;foreign-keys&gt;&lt;key app="EN" db-id="aez2w9td7dvre2ees5ypszf9xez900rafpxz"&gt;35&lt;/key&gt;&lt;/foreign-keys&gt;&lt;ref-type name="Journal Article"&gt;17&lt;/ref-type&gt;&lt;contributors&gt;&lt;authors&gt;&lt;author&gt;Mekonnen, Wubegzier&lt;/author&gt;&lt;author&gt;Gebremariam, Alem&lt;/author&gt;&lt;/authors&gt;&lt;/contributors&gt;&lt;titles&gt;&lt;title&gt;Causes of maternal death in Ethiopia between 1990 and 2016: systematic review with meta-analysis&lt;/title&gt;&lt;secondary-title&gt;Ethiopian Journal of Health Development&lt;/secondary-title&gt;&lt;/titles&gt;&lt;periodical&gt;&lt;full-title&gt;Ethiopian Journal of Health Development&lt;/full-title&gt;&lt;/periodical&gt;&lt;volume&gt;32&lt;/volume&gt;&lt;number&gt;4&lt;/number&gt;&lt;dates&gt;&lt;year&gt;2018&lt;/year&gt;&lt;/dates&gt;&lt;isbn&gt;1021-6790&lt;/isbn&gt;&lt;urls&gt;&lt;/urls&gt;&lt;/record&gt;&lt;/Cite&gt;&lt;/EndNote&gt;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10" w:tooltip="Berhan, 2015 #70" w:history="1">
        <w:r>
          <w:rPr>
            <w:rFonts w:ascii="Times New Roman" w:hAnsi="Times New Roman" w:cs="Times New Roman"/>
            <w:sz w:val="24"/>
            <w:szCs w:val="24"/>
          </w:rPr>
          <w:t>10</w:t>
        </w:r>
      </w:hyperlink>
      <w:r>
        <w:rPr>
          <w:rFonts w:ascii="Times New Roman" w:hAnsi="Times New Roman" w:cs="Times New Roman"/>
          <w:sz w:val="24"/>
          <w:szCs w:val="24"/>
        </w:rPr>
        <w:t xml:space="preserve">, </w:t>
      </w:r>
      <w:hyperlink w:anchor="_ENREF_11" w:tooltip="Mekonnen, 2018 #35" w:history="1">
        <w:r>
          <w:rPr>
            <w:rFonts w:ascii="Times New Roman" w:hAnsi="Times New Roman" w:cs="Times New Roman"/>
            <w:sz w:val="24"/>
            <w:szCs w:val="24"/>
          </w:rPr>
          <w:t>11</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research conducted on preeclampsia and associated risk factors at </w:t>
      </w:r>
      <w:proofErr w:type="spellStart"/>
      <w:r>
        <w:rPr>
          <w:rFonts w:ascii="Times New Roman" w:hAnsi="Times New Roman" w:cs="Times New Roman"/>
          <w:sz w:val="24"/>
          <w:szCs w:val="24"/>
        </w:rPr>
        <w:t>Dessie</w:t>
      </w:r>
      <w:proofErr w:type="spellEnd"/>
      <w:r>
        <w:rPr>
          <w:rFonts w:ascii="Times New Roman" w:hAnsi="Times New Roman" w:cs="Times New Roman"/>
          <w:sz w:val="24"/>
          <w:szCs w:val="24"/>
        </w:rPr>
        <w:t xml:space="preserve"> referral hospital. The prevalence of preeclampsia is 8.4%. It was assessed with regards to age, family history of hypertension, history of chronic hypertension, and presence of diabetes mellitus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&lt;EndNote&gt;&lt;Cite&gt;&lt;Author&gt;Tessema&lt;/Author&gt;&lt;Year&gt;2015&lt;/Year&gt;&lt;RecNum&gt;33&lt;/RecNum&gt;&lt;DisplayText&gt;(12)&lt;/DisplayText&gt;&lt;record&gt;&lt;rec-number&gt;33&lt;/rec-number&gt;&lt;foreign-keys&gt;&lt;key app="EN" db-id="aez2w9td7dvre2ees5ypszf9xez900rafpxz"&gt;33&lt;/key&gt;&lt;/foreign-keys&gt;&lt;ref-type name="Journal Article"&gt;17&lt;/ref-type&gt;&lt;contributors&gt;&lt;authors&gt;&lt;author&gt;Tessema, Gizachew Assefa&lt;/author&gt;&lt;author&gt;Tekeste, Abebe&lt;/author&gt;&lt;author&gt;Ayele, Tadesse Awoke&lt;/author&gt;&lt;/authors&gt;&lt;/contributors&gt;&lt;titles&gt;&lt;title&gt;Preeclampsia and associated factors among pregnant women attending antenatal care in Dessie referral hospital, Northeast Ethiopia: a hospital-based study&lt;/title&gt;&lt;secondary-title&gt;BMC pregnancy and childbirth&lt;/secondary-title&gt;&lt;/titles&gt;&lt;periodical&gt;&lt;full-title&gt;BMC pregnancy and childbirth&lt;/full-title&gt;&lt;/periodical&gt;&lt;pages&gt;73&lt;/pages&gt;&lt;volume&gt;15&lt;/volume&gt;&lt;number&gt;1&lt;/number&gt;&lt;dates&gt;&lt;year&gt;2015&lt;/year&gt;&lt;/dates&gt;&lt;isbn&gt;1471-2393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12" w:tooltip="Tessema, 2015 #33" w:history="1">
        <w:r>
          <w:rPr>
            <w:rFonts w:ascii="Times New Roman" w:hAnsi="Times New Roman" w:cs="Times New Roman"/>
            <w:sz w:val="24"/>
            <w:szCs w:val="24"/>
          </w:rPr>
          <w:t>12</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Although it provided valuable information regarding prevalence of preeclampsia, it is not inclusive of other type of hypertension during pregnancy. Hence there is no study done in Ethiopia which </w:t>
      </w:r>
      <w:proofErr w:type="gramStart"/>
      <w:r>
        <w:rPr>
          <w:rFonts w:ascii="Times New Roman" w:hAnsi="Times New Roman" w:cs="Times New Roman"/>
          <w:sz w:val="24"/>
          <w:szCs w:val="24"/>
        </w:rPr>
        <w:t>determine</w:t>
      </w:r>
      <w:proofErr w:type="gramEnd"/>
      <w:r>
        <w:rPr>
          <w:rFonts w:ascii="Times New Roman" w:hAnsi="Times New Roman" w:cs="Times New Roman"/>
          <w:sz w:val="24"/>
          <w:szCs w:val="24"/>
        </w:rPr>
        <w:t xml:space="preserve"> the prevalence of super imposed preeclampsia and associated factors and this is the first of its kind.</w:t>
      </w:r>
    </w:p>
    <w:p w:rsidR="002C49A7" w:rsidRDefault="00247361">
      <w:pPr>
        <w:spacing w:line="360" w:lineRule="auto"/>
        <w:jc w:val="both"/>
        <w:rPr>
          <w:rFonts w:ascii="Times New Roman" w:hAnsi="Times New Roman" w:cs="Times New Roman"/>
          <w:b/>
          <w:bCs/>
          <w:sz w:val="28"/>
          <w:szCs w:val="28"/>
        </w:rPr>
      </w:pPr>
      <w:proofErr w:type="gramStart"/>
      <w:r>
        <w:rPr>
          <w:rFonts w:ascii="Times New Roman" w:hAnsi="Times New Roman" w:cs="Times New Roman"/>
          <w:b/>
          <w:bCs/>
          <w:sz w:val="28"/>
          <w:szCs w:val="28"/>
        </w:rPr>
        <w:t>objectives</w:t>
      </w:r>
      <w:proofErr w:type="gramEnd"/>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sz w:val="24"/>
          <w:szCs w:val="24"/>
        </w:rPr>
        <w:t>This study was done with aim of determining the prevalence of super imposed preeclampsia, compare neonatal outcomes of those with superimposed preeclampsia with those without superimposed preeclampsia and determine factors associated with occurrence of super imposed preeclampsia.</w:t>
      </w:r>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b/>
          <w:sz w:val="28"/>
          <w:szCs w:val="28"/>
        </w:rPr>
        <w:t>Methods and Materials</w:t>
      </w:r>
    </w:p>
    <w:p w:rsidR="002C49A7" w:rsidRDefault="00247361">
      <w:pPr>
        <w:spacing w:line="360" w:lineRule="auto"/>
        <w:jc w:val="both"/>
        <w:rPr>
          <w:rFonts w:ascii="Times New Roman" w:hAnsi="Times New Roman" w:cs="Times New Roman"/>
          <w:color w:val="202020"/>
          <w:sz w:val="24"/>
          <w:szCs w:val="24"/>
          <w:shd w:val="clear" w:color="auto" w:fill="FFFFFF"/>
        </w:rPr>
      </w:pPr>
      <w:r>
        <w:rPr>
          <w:rFonts w:ascii="Times New Roman" w:hAnsi="Times New Roman" w:cs="Times New Roman"/>
          <w:color w:val="202020"/>
          <w:sz w:val="24"/>
          <w:szCs w:val="24"/>
          <w:shd w:val="clear" w:color="auto" w:fill="FFFFFF"/>
        </w:rPr>
        <w:t xml:space="preserve">The study was conducted at Saint Paul’s Hospital Millennium Medical College (SPHMMC), Addis Ababa, Ethiopia from </w:t>
      </w:r>
      <w:r>
        <w:rPr>
          <w:rFonts w:ascii="Times New Roman" w:hAnsi="Times New Roman" w:cs="Times New Roman"/>
          <w:sz w:val="24"/>
          <w:szCs w:val="24"/>
        </w:rPr>
        <w:t>February 1, 2019 to January 31, 2020</w:t>
      </w:r>
      <w:r>
        <w:rPr>
          <w:rFonts w:ascii="Times New Roman" w:hAnsi="Times New Roman" w:cs="Times New Roman"/>
          <w:color w:val="202020"/>
          <w:sz w:val="24"/>
          <w:szCs w:val="24"/>
          <w:shd w:val="clear" w:color="auto" w:fill="FFFFFF"/>
        </w:rPr>
        <w:t xml:space="preserve">. SPHMMC is a tertiary teaching referral hospital </w:t>
      </w:r>
      <w:r>
        <w:rPr>
          <w:rFonts w:ascii="Times New Roman" w:hAnsi="Times New Roman" w:cs="Times New Roman"/>
          <w:color w:val="202020"/>
          <w:sz w:val="24"/>
          <w:szCs w:val="24"/>
          <w:shd w:val="clear" w:color="auto" w:fill="FFFFFF"/>
        </w:rPr>
        <w:lastRenderedPageBreak/>
        <w:t>giving the highest maternity service in Ethiopia. The hospital handles complicated obstetric cases and often referring normal or less complicated pregnant mothers to other hospitals or health centers for birth. According to the statistics office of the hospital, 9000 births were attended in 2018,35% of births were by cesarean section</w:t>
      </w:r>
      <w:r>
        <w:rPr>
          <w:rFonts w:ascii="Times New Roman" w:hAnsi="Times New Roman" w:cs="Times New Roman"/>
          <w:color w:val="202020"/>
          <w:sz w:val="24"/>
          <w:szCs w:val="24"/>
          <w:shd w:val="clear" w:color="auto" w:fill="FFFFFF"/>
        </w:rPr>
        <w:fldChar w:fldCharType="begin"/>
      </w:r>
      <w:r>
        <w:rPr>
          <w:rFonts w:ascii="Times New Roman" w:hAnsi="Times New Roman" w:cs="Times New Roman"/>
          <w:color w:val="202020"/>
          <w:sz w:val="24"/>
          <w:szCs w:val="24"/>
          <w:shd w:val="clear" w:color="auto" w:fill="FFFFFF"/>
        </w:rPr>
        <w:instrText xml:space="preserve"> ADDIN  EN.CITE &lt;EndNote&gt;&lt;Cite&gt;&lt;Author&gt;Belay Tolu&lt;/Author&gt;&lt;Year&gt;2020&lt;/Year&gt;&lt;RecNum&gt;12&lt;/RecNum&gt;&lt;DisplayText&gt;(9)&lt;/DisplayText&gt;&lt;record&gt;&lt;rec-number&gt;12&lt;/rec-number&gt;&lt;foreign-keys&gt;&lt;key app="EN" db-id="aez2w9td7dvre2ees5ypszf9xez900rafpxz"&gt;12&lt;/key&gt;&lt;/foreign-keys&gt;&lt;ref-type name="Journal Article"&gt;17&lt;/ref-type&gt;&lt;contributors&gt;&lt;authors&gt;&lt;author&gt;Belay Tolu, Lemi&lt;/author&gt;&lt;author&gt;Yigezu, Endale&lt;/author&gt;&lt;author&gt;Urgie, Tadesse&lt;/author&gt;&lt;author&gt;Feyissa, Garumma Tolu&lt;/author&gt;&lt;/authors&gt;&lt;/contributors&gt;&lt;titles&gt;&lt;title&gt;Maternal and perinatal outcome of preeclampsia without severe feature among pregnant women managed at a tertiary referral hospital in urban Ethiopia&lt;/title&gt;&lt;secondary-title&gt;Plos one&lt;/secondary-title&gt;&lt;/titles&gt;&lt;periodical&gt;&lt;full-title&gt;PloS one&lt;/full-title&gt;&lt;/periodical&gt;&lt;pages&gt;e0230638&lt;/pages&gt;&lt;volume&gt;15&lt;/volume&gt;&lt;number&gt;4&lt;/number&gt;&lt;dates&gt;&lt;year&gt;2020&lt;/year&gt;&lt;/dates&gt;&lt;isbn&gt;1932-6203&lt;/isbn&gt;&lt;urls&gt;&lt;/urls&gt;&lt;/record&gt;&lt;/Cite&gt;&lt;/EndNote&gt;</w:instrText>
      </w:r>
      <w:r>
        <w:rPr>
          <w:rFonts w:ascii="Times New Roman" w:hAnsi="Times New Roman" w:cs="Times New Roman"/>
          <w:color w:val="202020"/>
          <w:sz w:val="24"/>
          <w:szCs w:val="24"/>
          <w:shd w:val="clear" w:color="auto" w:fill="FFFFFF"/>
        </w:rPr>
        <w:fldChar w:fldCharType="separate"/>
      </w:r>
      <w:r>
        <w:rPr>
          <w:rFonts w:ascii="Times New Roman" w:hAnsi="Times New Roman" w:cs="Times New Roman"/>
          <w:color w:val="202020"/>
          <w:sz w:val="24"/>
          <w:szCs w:val="24"/>
          <w:shd w:val="clear" w:color="auto" w:fill="FFFFFF"/>
        </w:rPr>
        <w:t>(</w:t>
      </w:r>
      <w:hyperlink w:anchor="_ENREF_9" w:tooltip="Belay Tolu, 2020 #12" w:history="1">
        <w:r>
          <w:rPr>
            <w:rFonts w:ascii="Times New Roman" w:hAnsi="Times New Roman" w:cs="Times New Roman"/>
            <w:color w:val="202020"/>
            <w:sz w:val="24"/>
            <w:szCs w:val="24"/>
            <w:shd w:val="clear" w:color="auto" w:fill="FFFFFF"/>
          </w:rPr>
          <w:t>9</w:t>
        </w:r>
      </w:hyperlink>
      <w:r>
        <w:rPr>
          <w:rFonts w:ascii="Times New Roman" w:hAnsi="Times New Roman" w:cs="Times New Roman"/>
          <w:color w:val="202020"/>
          <w:sz w:val="24"/>
          <w:szCs w:val="24"/>
          <w:shd w:val="clear" w:color="auto" w:fill="FFFFFF"/>
        </w:rPr>
        <w:t>)</w:t>
      </w:r>
      <w:r>
        <w:rPr>
          <w:rFonts w:ascii="Times New Roman" w:hAnsi="Times New Roman" w:cs="Times New Roman"/>
          <w:color w:val="202020"/>
          <w:sz w:val="24"/>
          <w:szCs w:val="24"/>
          <w:shd w:val="clear" w:color="auto" w:fill="FFFFFF"/>
        </w:rPr>
        <w:fldChar w:fldCharType="end"/>
      </w:r>
      <w:r>
        <w:rPr>
          <w:rFonts w:ascii="Times New Roman" w:hAnsi="Times New Roman" w:cs="Times New Roman"/>
          <w:color w:val="202020"/>
          <w:sz w:val="24"/>
          <w:szCs w:val="24"/>
          <w:shd w:val="clear" w:color="auto" w:fill="FFFFFF"/>
        </w:rPr>
        <w:t>.</w:t>
      </w:r>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sz w:val="24"/>
          <w:szCs w:val="24"/>
        </w:rPr>
        <w:t>A retrospective cross-sectional study was conducted in order to assess prevalence of super imposed preeclampsia and associated factors among women with chronic hypertension admitted for delivery at SPHMMC.</w:t>
      </w:r>
    </w:p>
    <w:p w:rsidR="002C49A7" w:rsidRDefault="00247361">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All pregnant women who were coming for delivery at SPHMMC was the source population </w:t>
      </w:r>
      <w:proofErr w:type="gramStart"/>
      <w:r>
        <w:rPr>
          <w:rFonts w:ascii="Times New Roman" w:hAnsi="Times New Roman" w:cs="Times New Roman"/>
          <w:sz w:val="24"/>
          <w:szCs w:val="24"/>
        </w:rPr>
        <w:t>and  pregnant</w:t>
      </w:r>
      <w:proofErr w:type="gramEnd"/>
      <w:r>
        <w:rPr>
          <w:rFonts w:ascii="Times New Roman" w:hAnsi="Times New Roman" w:cs="Times New Roman"/>
          <w:sz w:val="24"/>
          <w:szCs w:val="24"/>
        </w:rPr>
        <w:t xml:space="preserve"> women who were diagnosed with chronic hypertension and who came for delivery at SPHMMC was the study population. </w:t>
      </w:r>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sz w:val="24"/>
          <w:szCs w:val="24"/>
        </w:rPr>
        <w:t>All pregnant women diagnosed with chronic hypertension and who come for delivery at SPHMMC after gestational age of 20 completed weeks either from last normal menstrual period or from early ultrasound taken before 20 completed weeks were included using non probability convenience sampling technique. Those women referred to other setting and those with lethal congenital anomaly were excluded from research.</w:t>
      </w:r>
    </w:p>
    <w:p w:rsidR="002C49A7" w:rsidRDefault="00247361">
      <w:pPr>
        <w:spacing w:line="360" w:lineRule="auto"/>
        <w:jc w:val="both"/>
        <w:rPr>
          <w:rFonts w:ascii="Times New Roman" w:hAnsi="Times New Roman" w:cs="Times New Roman"/>
          <w:sz w:val="24"/>
          <w:szCs w:val="24"/>
        </w:rPr>
      </w:pPr>
      <w:r>
        <w:rPr>
          <w:rFonts w:ascii="Times New Roman" w:hAnsi="Times New Roman"/>
          <w:sz w:val="24"/>
          <w:szCs w:val="24"/>
        </w:rPr>
        <w:t xml:space="preserve">Sample sizes were determined by using </w:t>
      </w:r>
      <w:proofErr w:type="spellStart"/>
      <w:r>
        <w:rPr>
          <w:rFonts w:ascii="Times New Roman" w:hAnsi="Times New Roman"/>
          <w:sz w:val="24"/>
          <w:szCs w:val="24"/>
        </w:rPr>
        <w:t>OpenEpi</w:t>
      </w:r>
      <w:proofErr w:type="spellEnd"/>
      <w:r>
        <w:rPr>
          <w:rFonts w:ascii="Times New Roman" w:hAnsi="Times New Roman"/>
          <w:sz w:val="24"/>
          <w:szCs w:val="24"/>
        </w:rPr>
        <w:t xml:space="preserve"> Version 3.01 by taking the prevalence of chronic hypertension according to </w:t>
      </w:r>
      <w:proofErr w:type="spellStart"/>
      <w:r>
        <w:rPr>
          <w:rFonts w:ascii="Times New Roman" w:hAnsi="Times New Roman"/>
          <w:sz w:val="24"/>
          <w:szCs w:val="24"/>
        </w:rPr>
        <w:t>Noubiap</w:t>
      </w:r>
      <w:proofErr w:type="spellEnd"/>
      <w:r>
        <w:rPr>
          <w:rFonts w:ascii="Times New Roman" w:hAnsi="Times New Roman"/>
          <w:sz w:val="24"/>
          <w:szCs w:val="24"/>
        </w:rPr>
        <w:t xml:space="preserve"> </w:t>
      </w:r>
      <w:r>
        <w:rPr>
          <w:rFonts w:ascii="Times New Roman" w:hAnsi="Times New Roman"/>
          <w:sz w:val="24"/>
          <w:szCs w:val="24"/>
        </w:rPr>
        <w:lastRenderedPageBreak/>
        <w:t xml:space="preserve">JJ, </w:t>
      </w:r>
      <w:proofErr w:type="spellStart"/>
      <w:r>
        <w:rPr>
          <w:rFonts w:ascii="Times New Roman" w:hAnsi="Times New Roman"/>
          <w:sz w:val="24"/>
          <w:szCs w:val="24"/>
        </w:rPr>
        <w:t>Bigna</w:t>
      </w:r>
      <w:proofErr w:type="spellEnd"/>
      <w:r>
        <w:rPr>
          <w:rFonts w:ascii="Times New Roman" w:hAnsi="Times New Roman"/>
          <w:sz w:val="24"/>
          <w:szCs w:val="24"/>
        </w:rPr>
        <w:t xml:space="preserve"> JJ, </w:t>
      </w:r>
      <w:proofErr w:type="spellStart"/>
      <w:r>
        <w:rPr>
          <w:rFonts w:ascii="Times New Roman" w:hAnsi="Times New Roman"/>
          <w:sz w:val="24"/>
          <w:szCs w:val="24"/>
        </w:rPr>
        <w:t>Nyaga</w:t>
      </w:r>
      <w:proofErr w:type="spellEnd"/>
      <w:r>
        <w:rPr>
          <w:rFonts w:ascii="Times New Roman" w:hAnsi="Times New Roman"/>
          <w:sz w:val="24"/>
          <w:szCs w:val="24"/>
        </w:rPr>
        <w:t xml:space="preserve"> UF, et al: 9.2%, the allowed margin of error was 5% (d=0.05) with 95% level of confidence which resulted in final sample size of 127. Non probability convenience sampling method is used since all sampling units available during study period were included.</w:t>
      </w:r>
    </w:p>
    <w:p w:rsidR="002C49A7" w:rsidRDefault="00247361">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Sociodemographic</w:t>
      </w:r>
      <w:proofErr w:type="spellEnd"/>
      <w:r>
        <w:rPr>
          <w:rFonts w:ascii="Times New Roman" w:hAnsi="Times New Roman" w:cs="Times New Roman"/>
          <w:sz w:val="24"/>
          <w:szCs w:val="24"/>
        </w:rPr>
        <w:t xml:space="preserve"> characteristics (age, occupation, marital status and obstetrics characteristics (parity, abortion, ANC booking status, gestational age at diagnosis,) were seen as independent variables  and prevalence of superimposed preeclampsia and associated factors were considered as dependent variables.</w:t>
      </w:r>
    </w:p>
    <w:p w:rsidR="002C49A7" w:rsidRDefault="00247361">
      <w:pPr>
        <w:pStyle w:val="Heading2"/>
        <w:spacing w:line="360" w:lineRule="auto"/>
        <w:jc w:val="both"/>
        <w:rPr>
          <w:rFonts w:ascii="Times New Roman" w:hAnsi="Times New Roman" w:cs="Times New Roman"/>
          <w:sz w:val="24"/>
          <w:szCs w:val="24"/>
        </w:rPr>
      </w:pPr>
      <w:r>
        <w:rPr>
          <w:rFonts w:ascii="Times New Roman" w:hAnsi="Times New Roman" w:cs="Times New Roman"/>
          <w:sz w:val="24"/>
          <w:szCs w:val="24"/>
        </w:rPr>
        <w:t>Operational definition</w:t>
      </w:r>
    </w:p>
    <w:p w:rsidR="002C49A7" w:rsidRDefault="00247361">
      <w:pPr>
        <w:spacing w:line="360" w:lineRule="auto"/>
        <w:ind w:left="45"/>
        <w:jc w:val="both"/>
        <w:rPr>
          <w:rFonts w:ascii="Times New Roman" w:hAnsi="Times New Roman" w:cs="Times New Roman"/>
          <w:b/>
          <w:sz w:val="24"/>
          <w:szCs w:val="24"/>
        </w:rPr>
      </w:pPr>
      <w:r>
        <w:rPr>
          <w:rFonts w:ascii="Times New Roman" w:hAnsi="Times New Roman" w:cs="Times New Roman"/>
          <w:b/>
          <w:sz w:val="24"/>
          <w:szCs w:val="24"/>
        </w:rPr>
        <w:t xml:space="preserve">Definition of hypertension: </w:t>
      </w:r>
      <w:r>
        <w:rPr>
          <w:rFonts w:ascii="Times New Roman" w:hAnsi="Times New Roman" w:cs="Times New Roman"/>
          <w:sz w:val="24"/>
          <w:szCs w:val="24"/>
        </w:rPr>
        <w:t>Systolic blood pressure greater than or equal to 140 mm Hg &amp; Diastolic blood pressure greater than or equal to 90 mm Hg</w:t>
      </w:r>
    </w:p>
    <w:p w:rsidR="002C49A7" w:rsidRDefault="0024736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Chronic hypertension: </w:t>
      </w:r>
      <w:r>
        <w:rPr>
          <w:rFonts w:ascii="Times New Roman" w:hAnsi="Times New Roman" w:cs="Times New Roman"/>
          <w:sz w:val="24"/>
          <w:szCs w:val="24"/>
        </w:rPr>
        <w:t>Hypertension with onset before pregnancy or before 20th week gestation diagnosed by obstetrics and gynecology resident or consultant and</w:t>
      </w:r>
      <w:r>
        <w:rPr>
          <w:rFonts w:ascii="Times New Roman" w:hAnsi="Times New Roman" w:cs="Times New Roman"/>
          <w:b/>
          <w:sz w:val="24"/>
          <w:szCs w:val="24"/>
        </w:rPr>
        <w:t xml:space="preserve"> </w:t>
      </w:r>
      <w:r>
        <w:rPr>
          <w:rFonts w:ascii="Times New Roman" w:hAnsi="Times New Roman" w:cs="Times New Roman"/>
          <w:sz w:val="24"/>
          <w:szCs w:val="24"/>
        </w:rPr>
        <w:t>use of antihypertensive medications before pregnancy</w:t>
      </w:r>
    </w:p>
    <w:p w:rsidR="002C49A7" w:rsidRDefault="00247361">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Superimposed Preeclampsia: </w:t>
      </w:r>
      <w:r>
        <w:rPr>
          <w:rFonts w:ascii="Times New Roman" w:hAnsi="Times New Roman" w:cs="Times New Roman"/>
          <w:sz w:val="24"/>
          <w:szCs w:val="24"/>
        </w:rPr>
        <w:t xml:space="preserve">Chronic hypertension with one of </w:t>
      </w:r>
      <w:proofErr w:type="gramStart"/>
      <w:r>
        <w:rPr>
          <w:rFonts w:ascii="Times New Roman" w:hAnsi="Times New Roman" w:cs="Times New Roman"/>
          <w:sz w:val="24"/>
          <w:szCs w:val="24"/>
        </w:rPr>
        <w:t>the those</w:t>
      </w:r>
      <w:proofErr w:type="gramEnd"/>
      <w:r>
        <w:rPr>
          <w:rFonts w:ascii="Times New Roman" w:hAnsi="Times New Roman" w:cs="Times New Roman"/>
          <w:sz w:val="24"/>
          <w:szCs w:val="24"/>
        </w:rPr>
        <w:t xml:space="preserve"> criteria </w:t>
      </w:r>
    </w:p>
    <w:p w:rsidR="002C49A7" w:rsidRDefault="002473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cerebral symptoms (persistent headache, BOV)</w:t>
      </w:r>
    </w:p>
    <w:p w:rsidR="002C49A7" w:rsidRDefault="002473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new appearing proteinuria or worsening in proteinuria in previously protein uric patient </w:t>
      </w:r>
    </w:p>
    <w:p w:rsidR="002C49A7" w:rsidRDefault="002473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end organ damage like liver injury or kidney injury</w:t>
      </w:r>
    </w:p>
    <w:p w:rsidR="002C49A7" w:rsidRDefault="002473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thrombocytopenia</w:t>
      </w:r>
    </w:p>
    <w:p w:rsidR="002C49A7" w:rsidRDefault="002473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blood pressure greater than or equal to 160/110</w:t>
      </w:r>
    </w:p>
    <w:p w:rsidR="002C49A7" w:rsidRDefault="002473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pulmonary edema </w:t>
      </w:r>
    </w:p>
    <w:p w:rsidR="002C49A7" w:rsidRDefault="00247361">
      <w:pPr>
        <w:pStyle w:val="ListParagraph"/>
        <w:numPr>
          <w:ilvl w:val="0"/>
          <w:numId w:val="1"/>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eclampsia</w:t>
      </w:r>
      <w:proofErr w:type="spellEnd"/>
    </w:p>
    <w:p w:rsidR="002C49A7" w:rsidRDefault="00247361">
      <w:pPr>
        <w:spacing w:line="360" w:lineRule="auto"/>
        <w:jc w:val="both"/>
        <w:rPr>
          <w:rFonts w:ascii="Times New Roman" w:hAnsi="Times New Roman" w:cs="Times New Roman"/>
          <w:bCs/>
          <w:sz w:val="24"/>
          <w:szCs w:val="24"/>
        </w:rPr>
      </w:pPr>
      <w:r>
        <w:rPr>
          <w:rFonts w:ascii="Times New Roman" w:hAnsi="Times New Roman" w:cs="Times New Roman"/>
          <w:b/>
          <w:sz w:val="24"/>
          <w:szCs w:val="24"/>
        </w:rPr>
        <w:t>Delivery:</w:t>
      </w:r>
      <w:r>
        <w:rPr>
          <w:rFonts w:ascii="Times New Roman" w:hAnsi="Times New Roman" w:cs="Times New Roman"/>
          <w:bCs/>
          <w:sz w:val="24"/>
          <w:szCs w:val="24"/>
        </w:rPr>
        <w:t xml:space="preserve"> fetal expulsion after 20 weeks were considered as delivery in this study</w:t>
      </w:r>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Associated factors:  </w:t>
      </w:r>
      <w:r>
        <w:rPr>
          <w:rFonts w:ascii="Times New Roman" w:hAnsi="Times New Roman" w:cs="Times New Roman"/>
          <w:bCs/>
          <w:sz w:val="24"/>
          <w:szCs w:val="24"/>
        </w:rPr>
        <w:t>maternal age,</w:t>
      </w:r>
      <w:r>
        <w:rPr>
          <w:rFonts w:ascii="Times New Roman" w:hAnsi="Times New Roman" w:cs="Times New Roman"/>
          <w:b/>
          <w:sz w:val="24"/>
          <w:szCs w:val="24"/>
        </w:rPr>
        <w:t xml:space="preserve"> </w:t>
      </w:r>
      <w:proofErr w:type="spellStart"/>
      <w:r>
        <w:rPr>
          <w:rFonts w:ascii="Times New Roman" w:hAnsi="Times New Roman" w:cs="Times New Roman"/>
          <w:sz w:val="24"/>
          <w:szCs w:val="24"/>
        </w:rPr>
        <w:t>anti hypertensive</w:t>
      </w:r>
      <w:proofErr w:type="spellEnd"/>
      <w:r>
        <w:rPr>
          <w:rFonts w:ascii="Times New Roman" w:hAnsi="Times New Roman" w:cs="Times New Roman"/>
          <w:sz w:val="24"/>
          <w:szCs w:val="24"/>
        </w:rPr>
        <w:t xml:space="preserve"> use pre pregnancy</w:t>
      </w:r>
      <w:r>
        <w:rPr>
          <w:rFonts w:ascii="Times New Roman" w:hAnsi="Times New Roman" w:cs="Times New Roman"/>
          <w:b/>
          <w:sz w:val="24"/>
          <w:szCs w:val="24"/>
        </w:rPr>
        <w:t xml:space="preserve">, </w:t>
      </w:r>
      <w:r>
        <w:rPr>
          <w:rFonts w:ascii="Times New Roman" w:hAnsi="Times New Roman" w:cs="Times New Roman"/>
          <w:sz w:val="24"/>
          <w:szCs w:val="24"/>
        </w:rPr>
        <w:t>past obstetric history, ANC follow up</w:t>
      </w:r>
    </w:p>
    <w:p w:rsidR="002C49A7" w:rsidRDefault="00247361">
      <w:pPr>
        <w:pStyle w:val="NoSpacing"/>
        <w:spacing w:line="360" w:lineRule="auto"/>
        <w:jc w:val="both"/>
        <w:rPr>
          <w:rFonts w:ascii="Times New Roman" w:hAnsi="Times New Roman" w:cs="Times New Roman"/>
          <w:sz w:val="24"/>
          <w:szCs w:val="24"/>
        </w:rPr>
        <w:sectPr w:rsidR="002C49A7">
          <w:pgSz w:w="11906" w:h="16838"/>
          <w:pgMar w:top="1440" w:right="1080" w:bottom="1440" w:left="1080" w:header="720" w:footer="720" w:gutter="0"/>
          <w:cols w:num="2" w:space="720" w:equalWidth="0">
            <w:col w:w="4660" w:space="425"/>
            <w:col w:w="4660"/>
          </w:cols>
          <w:docGrid w:linePitch="360"/>
        </w:sectPr>
      </w:pPr>
      <w:r>
        <w:rPr>
          <w:rFonts w:ascii="Times New Roman" w:hAnsi="Times New Roman" w:cs="Times New Roman"/>
          <w:sz w:val="24"/>
          <w:szCs w:val="24"/>
        </w:rPr>
        <w:lastRenderedPageBreak/>
        <w:t xml:space="preserve">A well-structured and pretested questionnaire was prepared and data was collected by patient chart reviewing.  The data collectors were trained interns working in the delivery unit of SPHMMC. The data was collected by reviewing patient charts seen between February 1, 2019-January 31, 2020 GC. At the beginning of data collection training was given to the selected interns working in the labor and delivery room for one day and the questioner was tested over some charts.  All filled questionnaires were checked for completeness, accuracy, and consistency by the principal investigator. </w:t>
      </w:r>
    </w:p>
    <w:p w:rsidR="002C49A7" w:rsidRDefault="00247361">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Supervision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carried out by the principal investigator throughout the data collection.</w:t>
      </w:r>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data collection, each questionnaire was checked for completeness and coding of individual questionnaires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checked before data entry in to the software. </w:t>
      </w:r>
      <w:proofErr w:type="spellStart"/>
      <w:r>
        <w:rPr>
          <w:rFonts w:ascii="Times New Roman" w:hAnsi="Times New Roman" w:cs="Times New Roman"/>
          <w:sz w:val="24"/>
          <w:szCs w:val="24"/>
        </w:rPr>
        <w:t>Further more</w:t>
      </w:r>
      <w:proofErr w:type="spellEnd"/>
      <w:r>
        <w:rPr>
          <w:rFonts w:ascii="Times New Roman" w:hAnsi="Times New Roman" w:cs="Times New Roman"/>
          <w:sz w:val="24"/>
          <w:szCs w:val="24"/>
        </w:rPr>
        <w:t xml:space="preserve">, data cleaning was performed to check for outliers, missed values and any inconsistencies before the data was analyzed using the software. Data was entered and analyzed using SPSS version 23. Descriptive statistics were done to characterize the dependent and independent variables, determine the prevalence of super imposed preeclampsia, compare neonatal outcomes of those with superimposed preeclampsia with those without superimposed preeclampsia and determine factors associated with occurrence of super imposed preeclampsia. After bivariate analysis, multivariate logistic regression analysis was carried out to identify </w:t>
      </w:r>
      <w:r>
        <w:rPr>
          <w:rFonts w:ascii="Times New Roman" w:hAnsi="Times New Roman" w:cs="Times New Roman"/>
          <w:sz w:val="24"/>
          <w:szCs w:val="24"/>
        </w:rPr>
        <w:lastRenderedPageBreak/>
        <w:t>factors associated with SIP. Statistical associations was considered significant whenever the p value was less than 0.05.</w:t>
      </w:r>
    </w:p>
    <w:p w:rsidR="002C49A7" w:rsidRDefault="00247361">
      <w:pPr>
        <w:pStyle w:val="Heading2"/>
        <w:spacing w:line="360" w:lineRule="auto"/>
        <w:jc w:val="both"/>
        <w:rPr>
          <w:rFonts w:ascii="Times New Roman" w:hAnsi="Times New Roman" w:cs="Times New Roman"/>
          <w:sz w:val="24"/>
          <w:szCs w:val="24"/>
        </w:rPr>
      </w:pPr>
      <w:r>
        <w:rPr>
          <w:rFonts w:ascii="Times New Roman" w:hAnsi="Times New Roman" w:cs="Times New Roman"/>
          <w:sz w:val="24"/>
          <w:szCs w:val="24"/>
        </w:rPr>
        <w:t>Ethical Clearance</w:t>
      </w:r>
    </w:p>
    <w:p w:rsidR="002C49A7" w:rsidRDefault="00247361">
      <w:pPr>
        <w:spacing w:line="360" w:lineRule="auto"/>
        <w:jc w:val="both"/>
        <w:rPr>
          <w:rFonts w:ascii="Times New Roman" w:hAnsi="Times New Roman" w:cs="Times New Roman"/>
          <w:color w:val="333333"/>
          <w:sz w:val="24"/>
          <w:szCs w:val="24"/>
          <w:shd w:val="clear" w:color="auto" w:fill="F9F7F7"/>
        </w:rPr>
      </w:pPr>
      <w:r>
        <w:rPr>
          <w:rFonts w:ascii="Times New Roman" w:eastAsia="Cambria,Bold" w:hAnsi="Times New Roman" w:cs="Times New Roman"/>
          <w:color w:val="000000"/>
          <w:sz w:val="24"/>
          <w:szCs w:val="24"/>
        </w:rPr>
        <w:t>Ethical clearance &amp; permission letter was obtained from the Institutional Review Board of SPHMMC</w:t>
      </w:r>
      <w:r>
        <w:rPr>
          <w:rFonts w:ascii="Times New Roman" w:hAnsi="Times New Roman" w:cs="Times New Roman"/>
          <w:bCs/>
          <w:sz w:val="24"/>
          <w:szCs w:val="24"/>
        </w:rPr>
        <w:t xml:space="preserve">. </w:t>
      </w:r>
      <w:proofErr w:type="gramStart"/>
      <w:r>
        <w:rPr>
          <w:rFonts w:ascii="Times New Roman" w:hAnsi="Times New Roman" w:cs="Times New Roman"/>
          <w:sz w:val="24"/>
          <w:szCs w:val="24"/>
        </w:rPr>
        <w:t>Confidentiality of the data obtained by omitting the name of the chart holder.</w:t>
      </w:r>
      <w:proofErr w:type="gramEnd"/>
    </w:p>
    <w:p w:rsidR="002C49A7" w:rsidRDefault="00247361">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Result</w:t>
      </w:r>
    </w:p>
    <w:p w:rsidR="002C49A7" w:rsidRDefault="00247361">
      <w:pPr>
        <w:spacing w:line="360" w:lineRule="auto"/>
        <w:rPr>
          <w:rFonts w:ascii="Times New Roman" w:hAnsi="Times New Roman" w:cs="Times New Roman"/>
          <w:b/>
          <w:bCs/>
          <w:sz w:val="24"/>
          <w:szCs w:val="24"/>
        </w:rPr>
      </w:pPr>
      <w:r>
        <w:rPr>
          <w:rFonts w:ascii="Times New Roman" w:hAnsi="Times New Roman" w:cs="Times New Roman"/>
          <w:b/>
          <w:bCs/>
          <w:sz w:val="24"/>
          <w:szCs w:val="24"/>
        </w:rPr>
        <w:t>Description of Study Participants</w:t>
      </w:r>
    </w:p>
    <w:p w:rsidR="002C49A7" w:rsidRDefault="00247361">
      <w:pPr>
        <w:pStyle w:val="Heading3"/>
        <w:spacing w:line="360" w:lineRule="auto"/>
        <w:rPr>
          <w:rFonts w:ascii="Times New Roman" w:hAnsi="Times New Roman" w:cs="Times New Roman"/>
          <w:b/>
          <w:bCs/>
          <w:color w:val="auto"/>
        </w:rPr>
      </w:pPr>
      <w:r>
        <w:rPr>
          <w:rFonts w:ascii="Times New Roman" w:hAnsi="Times New Roman" w:cs="Times New Roman"/>
          <w:b/>
          <w:bCs/>
          <w:color w:val="auto"/>
        </w:rPr>
        <w:t>Description of Socio-demographic Characteristics of Study Participants</w:t>
      </w:r>
    </w:p>
    <w:p w:rsidR="002C49A7" w:rsidRPr="00A419CD" w:rsidRDefault="00247361" w:rsidP="00A419CD">
      <w:pPr>
        <w:spacing w:line="360" w:lineRule="auto"/>
        <w:jc w:val="both"/>
        <w:rPr>
          <w:rFonts w:ascii="Times New Roman" w:hAnsi="Times New Roman" w:cs="Times New Roman"/>
          <w:sz w:val="24"/>
          <w:szCs w:val="24"/>
        </w:rPr>
        <w:sectPr w:rsidR="002C49A7" w:rsidRPr="00A419CD">
          <w:type w:val="continuous"/>
          <w:pgSz w:w="11906" w:h="16838"/>
          <w:pgMar w:top="1440" w:right="1080" w:bottom="1440" w:left="1080" w:header="720" w:footer="720" w:gutter="0"/>
          <w:cols w:num="2" w:space="720" w:equalWidth="0">
            <w:col w:w="4660" w:space="425"/>
            <w:col w:w="4660"/>
          </w:cols>
          <w:docGrid w:linePitch="360"/>
        </w:sectPr>
      </w:pPr>
      <w:r>
        <w:rPr>
          <w:rFonts w:ascii="Times New Roman" w:hAnsi="Times New Roman" w:cs="Times New Roman"/>
          <w:sz w:val="24"/>
          <w:szCs w:val="24"/>
        </w:rPr>
        <w:t>There were a total of 127 women with chronic hypertension participated in this study. Among them 96 (75.6%) were less than 35years and 31 (24.4%) above 35yrs.  Among the total participants 116 (91.3%) were married. Out of the total participants 90 (70.9%) wer</w:t>
      </w:r>
      <w:r w:rsidR="00A419CD">
        <w:rPr>
          <w:rFonts w:ascii="Times New Roman" w:hAnsi="Times New Roman" w:cs="Times New Roman"/>
          <w:sz w:val="24"/>
          <w:szCs w:val="24"/>
        </w:rPr>
        <w:t>e housewife. (See table 1 below</w:t>
      </w:r>
    </w:p>
    <w:p w:rsidR="002C49A7" w:rsidRDefault="00247361">
      <w:pPr>
        <w:pStyle w:val="Caption"/>
        <w:keepNext/>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 \* ARABIC </w:instrText>
      </w:r>
      <w:r>
        <w:rPr>
          <w:rFonts w:ascii="Times New Roman" w:hAnsi="Times New Roman" w:cs="Times New Roman"/>
          <w:sz w:val="24"/>
          <w:szCs w:val="24"/>
        </w:rPr>
        <w:fldChar w:fldCharType="separate"/>
      </w:r>
      <w:r w:rsidR="00854F81">
        <w:rPr>
          <w:rFonts w:ascii="Times New Roman" w:hAnsi="Times New Roman" w:cs="Times New Roman"/>
          <w:noProof/>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Socio-demographic characteristics of mothers with chronic hypertension with and without superimposed preeclampsia at SPHMMC, Addis Ababa, Ethiopia, 2020</w:t>
      </w:r>
    </w:p>
    <w:tbl>
      <w:tblPr>
        <w:tblStyle w:val="TableGrid"/>
        <w:tblW w:w="10020" w:type="dxa"/>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2"/>
        <w:gridCol w:w="1710"/>
        <w:gridCol w:w="1980"/>
        <w:gridCol w:w="2273"/>
        <w:gridCol w:w="2505"/>
      </w:tblGrid>
      <w:tr w:rsidR="002C49A7">
        <w:tc>
          <w:tcPr>
            <w:tcW w:w="1552"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Socio-demographic characteristics</w:t>
            </w:r>
          </w:p>
        </w:tc>
        <w:tc>
          <w:tcPr>
            <w:tcW w:w="1710"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Category</w:t>
            </w:r>
          </w:p>
        </w:tc>
        <w:tc>
          <w:tcPr>
            <w:tcW w:w="1980"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Total (n=127) </w:t>
            </w:r>
            <w:proofErr w:type="gramStart"/>
            <w:r>
              <w:rPr>
                <w:rFonts w:ascii="Times New Roman" w:eastAsia="SimSun" w:hAnsi="Times New Roman" w:cs="Times New Roman"/>
                <w:b/>
                <w:sz w:val="24"/>
                <w:szCs w:val="24"/>
              </w:rPr>
              <w:t>n(</w:t>
            </w:r>
            <w:proofErr w:type="gramEnd"/>
            <w:r>
              <w:rPr>
                <w:rFonts w:ascii="Times New Roman" w:eastAsia="SimSun" w:hAnsi="Times New Roman" w:cs="Times New Roman"/>
                <w:b/>
                <w:sz w:val="24"/>
                <w:szCs w:val="24"/>
              </w:rPr>
              <w:t>%)</w:t>
            </w:r>
          </w:p>
        </w:tc>
        <w:tc>
          <w:tcPr>
            <w:tcW w:w="2273"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SIP (n=56) n (%)</w:t>
            </w:r>
          </w:p>
        </w:tc>
        <w:tc>
          <w:tcPr>
            <w:tcW w:w="2505"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No SIP (n=71) n (%)</w:t>
            </w:r>
          </w:p>
        </w:tc>
      </w:tr>
      <w:tr w:rsidR="002C49A7">
        <w:trPr>
          <w:trHeight w:val="120"/>
        </w:trPr>
        <w:tc>
          <w:tcPr>
            <w:tcW w:w="1552" w:type="dxa"/>
            <w:vMerge w:val="restart"/>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Age </w:t>
            </w:r>
          </w:p>
        </w:tc>
        <w:tc>
          <w:tcPr>
            <w:tcW w:w="1710"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&lt;35yrs</w:t>
            </w:r>
          </w:p>
        </w:tc>
        <w:tc>
          <w:tcPr>
            <w:tcW w:w="1980"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96 (75.6)</w:t>
            </w:r>
          </w:p>
        </w:tc>
        <w:tc>
          <w:tcPr>
            <w:tcW w:w="2273"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42 (75.0)</w:t>
            </w:r>
          </w:p>
        </w:tc>
        <w:tc>
          <w:tcPr>
            <w:tcW w:w="2505"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54 (76.1)</w:t>
            </w:r>
          </w:p>
        </w:tc>
      </w:tr>
      <w:tr w:rsidR="002C49A7">
        <w:trPr>
          <w:trHeight w:val="118"/>
        </w:trPr>
        <w:tc>
          <w:tcPr>
            <w:tcW w:w="1552" w:type="dxa"/>
            <w:vMerge/>
          </w:tcPr>
          <w:p w:rsidR="002C49A7" w:rsidRDefault="002C49A7">
            <w:pPr>
              <w:spacing w:after="0" w:line="360" w:lineRule="auto"/>
              <w:jc w:val="both"/>
              <w:rPr>
                <w:rFonts w:ascii="Times New Roman" w:eastAsia="SimSun" w:hAnsi="Times New Roman" w:cs="Times New Roman"/>
                <w:sz w:val="24"/>
                <w:szCs w:val="24"/>
              </w:rPr>
            </w:pPr>
          </w:p>
        </w:tc>
        <w:tc>
          <w:tcPr>
            <w:tcW w:w="171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u w:val="single"/>
              </w:rPr>
              <w:t>&gt;</w:t>
            </w:r>
            <w:r>
              <w:rPr>
                <w:rFonts w:ascii="Times New Roman" w:eastAsia="SimSun" w:hAnsi="Times New Roman" w:cs="Times New Roman"/>
                <w:sz w:val="24"/>
                <w:szCs w:val="24"/>
              </w:rPr>
              <w:t>35yrs</w:t>
            </w:r>
          </w:p>
        </w:tc>
        <w:tc>
          <w:tcPr>
            <w:tcW w:w="19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31 (24.4)</w:t>
            </w:r>
          </w:p>
        </w:tc>
        <w:tc>
          <w:tcPr>
            <w:tcW w:w="2273"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14 (25)</w:t>
            </w:r>
          </w:p>
        </w:tc>
        <w:tc>
          <w:tcPr>
            <w:tcW w:w="250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17 (23.9)</w:t>
            </w:r>
          </w:p>
        </w:tc>
      </w:tr>
      <w:tr w:rsidR="002C49A7">
        <w:trPr>
          <w:trHeight w:val="135"/>
        </w:trPr>
        <w:tc>
          <w:tcPr>
            <w:tcW w:w="1552"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Marital Status</w:t>
            </w:r>
          </w:p>
        </w:tc>
        <w:tc>
          <w:tcPr>
            <w:tcW w:w="171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Not married</w:t>
            </w:r>
          </w:p>
        </w:tc>
        <w:tc>
          <w:tcPr>
            <w:tcW w:w="19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(2.4)</w:t>
            </w:r>
          </w:p>
        </w:tc>
        <w:tc>
          <w:tcPr>
            <w:tcW w:w="2273"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 (1.8)</w:t>
            </w:r>
          </w:p>
        </w:tc>
        <w:tc>
          <w:tcPr>
            <w:tcW w:w="250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 (2.8)</w:t>
            </w:r>
          </w:p>
        </w:tc>
      </w:tr>
      <w:tr w:rsidR="002C49A7">
        <w:trPr>
          <w:trHeight w:val="122"/>
        </w:trPr>
        <w:tc>
          <w:tcPr>
            <w:tcW w:w="1552" w:type="dxa"/>
            <w:vMerge/>
          </w:tcPr>
          <w:p w:rsidR="002C49A7" w:rsidRDefault="002C49A7">
            <w:pPr>
              <w:spacing w:after="0" w:line="360" w:lineRule="auto"/>
              <w:jc w:val="both"/>
              <w:rPr>
                <w:rFonts w:ascii="Times New Roman" w:eastAsia="SimSun" w:hAnsi="Times New Roman" w:cs="Times New Roman"/>
                <w:sz w:val="24"/>
                <w:szCs w:val="24"/>
              </w:rPr>
            </w:pPr>
          </w:p>
        </w:tc>
        <w:tc>
          <w:tcPr>
            <w:tcW w:w="171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Not known</w:t>
            </w:r>
          </w:p>
        </w:tc>
        <w:tc>
          <w:tcPr>
            <w:tcW w:w="19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8 (6.3)</w:t>
            </w:r>
          </w:p>
        </w:tc>
        <w:tc>
          <w:tcPr>
            <w:tcW w:w="2273"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 (8.9)</w:t>
            </w:r>
          </w:p>
        </w:tc>
        <w:tc>
          <w:tcPr>
            <w:tcW w:w="250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(4.2)</w:t>
            </w:r>
          </w:p>
        </w:tc>
      </w:tr>
      <w:tr w:rsidR="002C49A7">
        <w:trPr>
          <w:trHeight w:val="149"/>
        </w:trPr>
        <w:tc>
          <w:tcPr>
            <w:tcW w:w="1552" w:type="dxa"/>
            <w:vMerge/>
          </w:tcPr>
          <w:p w:rsidR="002C49A7" w:rsidRDefault="002C49A7">
            <w:pPr>
              <w:spacing w:after="0" w:line="360" w:lineRule="auto"/>
              <w:jc w:val="both"/>
              <w:rPr>
                <w:rFonts w:ascii="Times New Roman" w:eastAsia="SimSun" w:hAnsi="Times New Roman" w:cs="Times New Roman"/>
                <w:sz w:val="24"/>
                <w:szCs w:val="24"/>
              </w:rPr>
            </w:pPr>
          </w:p>
        </w:tc>
        <w:tc>
          <w:tcPr>
            <w:tcW w:w="171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Married</w:t>
            </w:r>
          </w:p>
        </w:tc>
        <w:tc>
          <w:tcPr>
            <w:tcW w:w="19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116 (91.3)</w:t>
            </w:r>
          </w:p>
        </w:tc>
        <w:tc>
          <w:tcPr>
            <w:tcW w:w="2273"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50 (89.3)</w:t>
            </w:r>
          </w:p>
        </w:tc>
        <w:tc>
          <w:tcPr>
            <w:tcW w:w="250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66 (93.0)</w:t>
            </w:r>
          </w:p>
        </w:tc>
      </w:tr>
      <w:tr w:rsidR="002C49A7">
        <w:trPr>
          <w:trHeight w:val="136"/>
        </w:trPr>
        <w:tc>
          <w:tcPr>
            <w:tcW w:w="1552"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Occupation</w:t>
            </w:r>
          </w:p>
        </w:tc>
        <w:tc>
          <w:tcPr>
            <w:tcW w:w="171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House wife</w:t>
            </w:r>
          </w:p>
        </w:tc>
        <w:tc>
          <w:tcPr>
            <w:tcW w:w="19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90 (70.9)</w:t>
            </w:r>
          </w:p>
        </w:tc>
        <w:tc>
          <w:tcPr>
            <w:tcW w:w="2273"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37 (66.1)</w:t>
            </w:r>
          </w:p>
        </w:tc>
        <w:tc>
          <w:tcPr>
            <w:tcW w:w="250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53 (74.6)</w:t>
            </w:r>
          </w:p>
        </w:tc>
      </w:tr>
      <w:tr w:rsidR="002C49A7">
        <w:trPr>
          <w:trHeight w:val="163"/>
        </w:trPr>
        <w:tc>
          <w:tcPr>
            <w:tcW w:w="1552" w:type="dxa"/>
            <w:vMerge/>
          </w:tcPr>
          <w:p w:rsidR="002C49A7" w:rsidRDefault="002C49A7">
            <w:pPr>
              <w:spacing w:after="0" w:line="360" w:lineRule="auto"/>
              <w:jc w:val="both"/>
              <w:rPr>
                <w:rFonts w:ascii="Times New Roman" w:eastAsia="SimSun" w:hAnsi="Times New Roman" w:cs="Times New Roman"/>
                <w:sz w:val="24"/>
                <w:szCs w:val="24"/>
              </w:rPr>
            </w:pPr>
          </w:p>
        </w:tc>
        <w:tc>
          <w:tcPr>
            <w:tcW w:w="171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Farmer</w:t>
            </w:r>
          </w:p>
        </w:tc>
        <w:tc>
          <w:tcPr>
            <w:tcW w:w="19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12 (9.4)</w:t>
            </w:r>
          </w:p>
        </w:tc>
        <w:tc>
          <w:tcPr>
            <w:tcW w:w="2273"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 (8.9)</w:t>
            </w:r>
          </w:p>
        </w:tc>
        <w:tc>
          <w:tcPr>
            <w:tcW w:w="250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7 (9.9)</w:t>
            </w:r>
          </w:p>
        </w:tc>
      </w:tr>
      <w:tr w:rsidR="002C49A7">
        <w:trPr>
          <w:trHeight w:val="163"/>
        </w:trPr>
        <w:tc>
          <w:tcPr>
            <w:tcW w:w="1552" w:type="dxa"/>
            <w:vMerge/>
          </w:tcPr>
          <w:p w:rsidR="002C49A7" w:rsidRDefault="002C49A7">
            <w:pPr>
              <w:spacing w:after="0" w:line="360" w:lineRule="auto"/>
              <w:jc w:val="both"/>
              <w:rPr>
                <w:rFonts w:ascii="Times New Roman" w:eastAsia="SimSun" w:hAnsi="Times New Roman" w:cs="Times New Roman"/>
                <w:sz w:val="24"/>
                <w:szCs w:val="24"/>
              </w:rPr>
            </w:pPr>
          </w:p>
        </w:tc>
        <w:tc>
          <w:tcPr>
            <w:tcW w:w="171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Merchant</w:t>
            </w:r>
          </w:p>
        </w:tc>
        <w:tc>
          <w:tcPr>
            <w:tcW w:w="19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9 (7.1)</w:t>
            </w:r>
          </w:p>
        </w:tc>
        <w:tc>
          <w:tcPr>
            <w:tcW w:w="2273"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 (10.7)</w:t>
            </w:r>
          </w:p>
        </w:tc>
        <w:tc>
          <w:tcPr>
            <w:tcW w:w="250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(4.2)</w:t>
            </w:r>
          </w:p>
        </w:tc>
      </w:tr>
      <w:tr w:rsidR="002C49A7">
        <w:trPr>
          <w:trHeight w:val="176"/>
        </w:trPr>
        <w:tc>
          <w:tcPr>
            <w:tcW w:w="1552" w:type="dxa"/>
            <w:vMerge/>
          </w:tcPr>
          <w:p w:rsidR="002C49A7" w:rsidRDefault="002C49A7">
            <w:pPr>
              <w:spacing w:after="0" w:line="360" w:lineRule="auto"/>
              <w:jc w:val="both"/>
              <w:rPr>
                <w:rFonts w:ascii="Times New Roman" w:eastAsia="SimSun" w:hAnsi="Times New Roman" w:cs="Times New Roman"/>
                <w:sz w:val="24"/>
                <w:szCs w:val="24"/>
              </w:rPr>
            </w:pPr>
          </w:p>
        </w:tc>
        <w:tc>
          <w:tcPr>
            <w:tcW w:w="171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Not known</w:t>
            </w:r>
          </w:p>
        </w:tc>
        <w:tc>
          <w:tcPr>
            <w:tcW w:w="19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(2.4)</w:t>
            </w:r>
          </w:p>
        </w:tc>
        <w:tc>
          <w:tcPr>
            <w:tcW w:w="2273"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 (1.8)</w:t>
            </w:r>
          </w:p>
        </w:tc>
        <w:tc>
          <w:tcPr>
            <w:tcW w:w="250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 (2.8)</w:t>
            </w:r>
          </w:p>
        </w:tc>
      </w:tr>
      <w:tr w:rsidR="002C49A7">
        <w:trPr>
          <w:trHeight w:val="752"/>
        </w:trPr>
        <w:tc>
          <w:tcPr>
            <w:tcW w:w="1552" w:type="dxa"/>
            <w:vMerge/>
          </w:tcPr>
          <w:p w:rsidR="002C49A7" w:rsidRDefault="002C49A7">
            <w:pPr>
              <w:spacing w:after="0" w:line="360" w:lineRule="auto"/>
              <w:jc w:val="both"/>
              <w:rPr>
                <w:rFonts w:ascii="Times New Roman" w:eastAsia="SimSun" w:hAnsi="Times New Roman" w:cs="Times New Roman"/>
                <w:sz w:val="24"/>
                <w:szCs w:val="24"/>
              </w:rPr>
            </w:pPr>
          </w:p>
        </w:tc>
        <w:tc>
          <w:tcPr>
            <w:tcW w:w="171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Government Employee</w:t>
            </w:r>
          </w:p>
        </w:tc>
        <w:tc>
          <w:tcPr>
            <w:tcW w:w="19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13 (10.2)</w:t>
            </w:r>
          </w:p>
        </w:tc>
        <w:tc>
          <w:tcPr>
            <w:tcW w:w="2273"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7 (12.5)</w:t>
            </w:r>
          </w:p>
        </w:tc>
        <w:tc>
          <w:tcPr>
            <w:tcW w:w="250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 (8.5)</w:t>
            </w:r>
          </w:p>
        </w:tc>
      </w:tr>
    </w:tbl>
    <w:p w:rsidR="002C49A7" w:rsidRDefault="002C49A7">
      <w:pPr>
        <w:spacing w:line="360" w:lineRule="auto"/>
        <w:sectPr w:rsidR="002C49A7">
          <w:type w:val="continuous"/>
          <w:pgSz w:w="12240" w:h="15840"/>
          <w:pgMar w:top="1440" w:right="1080" w:bottom="1440" w:left="1080" w:header="720" w:footer="720" w:gutter="0"/>
          <w:cols w:space="425"/>
          <w:docGrid w:linePitch="360"/>
        </w:sectPr>
      </w:pPr>
    </w:p>
    <w:p w:rsidR="002C49A7" w:rsidRDefault="002C49A7">
      <w:pPr>
        <w:spacing w:line="360" w:lineRule="auto"/>
      </w:pPr>
    </w:p>
    <w:tbl>
      <w:tblPr>
        <w:tblStyle w:val="TableGrid"/>
        <w:tblpPr w:leftFromText="180" w:rightFromText="180" w:vertAnchor="text" w:tblpX="10908" w:tblpY="-5990"/>
        <w:tblOverlap w:val="never"/>
        <w:tblW w:w="1531" w:type="dxa"/>
        <w:tblLayout w:type="fixed"/>
        <w:tblLook w:val="04A0" w:firstRow="1" w:lastRow="0" w:firstColumn="1" w:lastColumn="0" w:noHBand="0" w:noVBand="1"/>
      </w:tblPr>
      <w:tblGrid>
        <w:gridCol w:w="1531"/>
      </w:tblGrid>
      <w:tr w:rsidR="002C49A7">
        <w:trPr>
          <w:trHeight w:val="30"/>
        </w:trPr>
        <w:tc>
          <w:tcPr>
            <w:tcW w:w="1531" w:type="dxa"/>
          </w:tcPr>
          <w:p w:rsidR="002C49A7" w:rsidRDefault="002C49A7">
            <w:pPr>
              <w:spacing w:line="360" w:lineRule="auto"/>
            </w:pPr>
          </w:p>
        </w:tc>
      </w:tr>
    </w:tbl>
    <w:p w:rsidR="002C49A7" w:rsidRDefault="002C49A7">
      <w:pPr>
        <w:spacing w:line="360" w:lineRule="auto"/>
      </w:pPr>
    </w:p>
    <w:p w:rsidR="002C49A7" w:rsidRDefault="002C49A7">
      <w:pPr>
        <w:spacing w:line="360" w:lineRule="auto"/>
        <w:jc w:val="both"/>
        <w:rPr>
          <w:rFonts w:ascii="Times New Roman" w:hAnsi="Times New Roman" w:cs="Times New Roman"/>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p>
    <w:tbl>
      <w:tblPr>
        <w:tblStyle w:val="TableGrid"/>
        <w:tblpPr w:leftFromText="180" w:rightFromText="180" w:vertAnchor="text" w:tblpX="10908" w:tblpY="-5990"/>
        <w:tblOverlap w:val="never"/>
        <w:tblW w:w="1531" w:type="dxa"/>
        <w:tblLayout w:type="fixed"/>
        <w:tblLook w:val="04A0" w:firstRow="1" w:lastRow="0" w:firstColumn="1" w:lastColumn="0" w:noHBand="0" w:noVBand="1"/>
      </w:tblPr>
      <w:tblGrid>
        <w:gridCol w:w="1531"/>
      </w:tblGrid>
      <w:tr w:rsidR="002C49A7">
        <w:trPr>
          <w:trHeight w:val="30"/>
        </w:trPr>
        <w:tc>
          <w:tcPr>
            <w:tcW w:w="1531" w:type="dxa"/>
          </w:tcPr>
          <w:p w:rsidR="002C49A7" w:rsidRDefault="002C49A7">
            <w:pPr>
              <w:spacing w:line="360" w:lineRule="auto"/>
              <w:jc w:val="both"/>
              <w:rPr>
                <w:rFonts w:ascii="Times New Roman" w:hAnsi="Times New Roman" w:cs="Times New Roman"/>
                <w:sz w:val="24"/>
                <w:szCs w:val="24"/>
              </w:rPr>
            </w:pPr>
          </w:p>
        </w:tc>
      </w:tr>
    </w:tbl>
    <w:p w:rsidR="002C49A7" w:rsidRDefault="002C49A7">
      <w:pPr>
        <w:spacing w:line="360" w:lineRule="auto"/>
        <w:jc w:val="both"/>
        <w:rPr>
          <w:rFonts w:ascii="Times New Roman" w:hAnsi="Times New Roman" w:cs="Times New Roman"/>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p>
    <w:p w:rsidR="002C49A7" w:rsidRDefault="0024736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Description of Obstetrics Characteristics of Study Participants</w:t>
      </w:r>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Among the study participants 120 (94.5%) were </w:t>
      </w:r>
      <w:proofErr w:type="spellStart"/>
      <w:r>
        <w:rPr>
          <w:rFonts w:ascii="Times New Roman" w:hAnsi="Times New Roman" w:cs="Times New Roman"/>
          <w:sz w:val="24"/>
          <w:szCs w:val="24"/>
        </w:rPr>
        <w:t>para</w:t>
      </w:r>
      <w:proofErr w:type="spellEnd"/>
      <w:r>
        <w:rPr>
          <w:rFonts w:ascii="Times New Roman" w:hAnsi="Times New Roman" w:cs="Times New Roman"/>
          <w:sz w:val="24"/>
          <w:szCs w:val="24"/>
        </w:rPr>
        <w:t xml:space="preserve"> I-IV and 7 (5.5%) were grand multipara (</w:t>
      </w:r>
      <w:proofErr w:type="spellStart"/>
      <w:r>
        <w:rPr>
          <w:rFonts w:ascii="Times New Roman" w:hAnsi="Times New Roman" w:cs="Times New Roman"/>
          <w:sz w:val="24"/>
          <w:szCs w:val="24"/>
        </w:rPr>
        <w:t>para</w:t>
      </w:r>
      <w:proofErr w:type="spellEnd"/>
      <w:r>
        <w:rPr>
          <w:rFonts w:ascii="Times New Roman" w:hAnsi="Times New Roman" w:cs="Times New Roman"/>
          <w:sz w:val="24"/>
          <w:szCs w:val="24"/>
        </w:rPr>
        <w:t xml:space="preserve"> V and above). Of the total participants 93 </w:t>
      </w:r>
      <w:r>
        <w:rPr>
          <w:rFonts w:ascii="Times New Roman" w:hAnsi="Times New Roman" w:cs="Times New Roman"/>
          <w:sz w:val="24"/>
          <w:szCs w:val="24"/>
        </w:rPr>
        <w:lastRenderedPageBreak/>
        <w:t>(73.2%) had high risk ANC follow up and 4 (3.2%) had no ANC follow up at all. For 62 (48.8%) of the participants, chronic hypertension was diagnosed before pregnancy whereas for the remaining 65 (51.2%) it was diagnosed before 20 weeks of gestation (See Table 2 below).</w:t>
      </w:r>
    </w:p>
    <w:p w:rsidR="002C49A7" w:rsidRDefault="002C49A7">
      <w:pPr>
        <w:pStyle w:val="Caption"/>
        <w:keepNext/>
        <w:spacing w:line="360" w:lineRule="auto"/>
        <w:jc w:val="both"/>
        <w:rPr>
          <w:rFonts w:ascii="Times New Roman" w:hAnsi="Times New Roman" w:cs="Times New Roman"/>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p>
    <w:p w:rsidR="002C49A7" w:rsidRDefault="00247361">
      <w:pPr>
        <w:spacing w:line="36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   </w:t>
      </w:r>
    </w:p>
    <w:p w:rsidR="002C49A7" w:rsidRDefault="002C49A7">
      <w:pPr>
        <w:spacing w:line="360" w:lineRule="auto"/>
        <w:jc w:val="both"/>
        <w:rPr>
          <w:rFonts w:ascii="Times New Roman" w:hAnsi="Times New Roman" w:cs="Times New Roman"/>
          <w:b/>
          <w:bCs/>
          <w:sz w:val="24"/>
          <w:szCs w:val="24"/>
        </w:rPr>
      </w:pPr>
    </w:p>
    <w:p w:rsidR="002C49A7" w:rsidRDefault="002C49A7">
      <w:pPr>
        <w:spacing w:line="360" w:lineRule="auto"/>
        <w:jc w:val="both"/>
        <w:rPr>
          <w:rFonts w:ascii="Times New Roman" w:hAnsi="Times New Roman" w:cs="Times New Roman"/>
          <w:b/>
          <w:bCs/>
          <w:sz w:val="24"/>
          <w:szCs w:val="24"/>
        </w:rPr>
      </w:pPr>
    </w:p>
    <w:p w:rsidR="002C49A7" w:rsidRDefault="002C49A7">
      <w:pPr>
        <w:spacing w:line="360" w:lineRule="auto"/>
        <w:jc w:val="both"/>
        <w:rPr>
          <w:rFonts w:ascii="Times New Roman" w:hAnsi="Times New Roman" w:cs="Times New Roman"/>
          <w:b/>
          <w:bCs/>
          <w:sz w:val="24"/>
          <w:szCs w:val="24"/>
        </w:rPr>
      </w:pPr>
    </w:p>
    <w:p w:rsidR="002C49A7" w:rsidRDefault="002C49A7">
      <w:pPr>
        <w:spacing w:line="360" w:lineRule="auto"/>
        <w:jc w:val="both"/>
        <w:rPr>
          <w:rFonts w:ascii="Times New Roman" w:hAnsi="Times New Roman" w:cs="Times New Roman"/>
          <w:b/>
          <w:bCs/>
          <w:sz w:val="24"/>
          <w:szCs w:val="24"/>
        </w:rPr>
      </w:pPr>
    </w:p>
    <w:p w:rsidR="002C49A7" w:rsidRDefault="002C49A7">
      <w:pPr>
        <w:spacing w:line="360" w:lineRule="auto"/>
        <w:jc w:val="both"/>
        <w:rPr>
          <w:rFonts w:ascii="Times New Roman" w:hAnsi="Times New Roman" w:cs="Times New Roman"/>
          <w:b/>
          <w:bCs/>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p>
    <w:p w:rsidR="002C49A7" w:rsidRDefault="00247361">
      <w:pPr>
        <w:pStyle w:val="Caption"/>
        <w:keepNext/>
        <w:spacing w:line="360" w:lineRule="auto"/>
        <w:rPr>
          <w:rFonts w:ascii="Times New Roman" w:hAnsi="Times New Roman" w:cs="Times New Roman"/>
          <w:sz w:val="24"/>
          <w:szCs w:val="24"/>
        </w:rPr>
      </w:pPr>
      <w:bookmarkStart w:id="15" w:name="_Toc46707083"/>
      <w:bookmarkStart w:id="16" w:name="_Toc21582831"/>
      <w:r>
        <w:rPr>
          <w:rFonts w:ascii="Times New Roman" w:hAnsi="Times New Roman" w:cs="Times New Roman"/>
          <w:sz w:val="24"/>
          <w:szCs w:val="24"/>
        </w:rPr>
        <w:lastRenderedPageBreak/>
        <w:t xml:space="preserve">Table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 \* ARABIC </w:instrText>
      </w:r>
      <w:r>
        <w:rPr>
          <w:rFonts w:ascii="Times New Roman" w:hAnsi="Times New Roman" w:cs="Times New Roman"/>
          <w:sz w:val="24"/>
          <w:szCs w:val="24"/>
        </w:rPr>
        <w:fldChar w:fldCharType="separate"/>
      </w:r>
      <w:r w:rsidR="00854F81">
        <w:rPr>
          <w:rFonts w:ascii="Times New Roman" w:hAnsi="Times New Roman" w:cs="Times New Roman"/>
          <w:noProof/>
          <w:sz w:val="24"/>
          <w:szCs w:val="24"/>
        </w:rPr>
        <w:t>2</w:t>
      </w:r>
      <w:r>
        <w:rPr>
          <w:rFonts w:ascii="Times New Roman" w:hAnsi="Times New Roman" w:cs="Times New Roman"/>
          <w:sz w:val="24"/>
          <w:szCs w:val="24"/>
        </w:rPr>
        <w:fldChar w:fldCharType="end"/>
      </w:r>
      <w:r>
        <w:rPr>
          <w:rFonts w:ascii="Times New Roman" w:hAnsi="Times New Roman" w:cs="Times New Roman"/>
          <w:sz w:val="24"/>
          <w:szCs w:val="24"/>
        </w:rPr>
        <w:t>: Obstetric characteristics of mothers with chronic hypertension with and without superimposed preeclampsia at SPHMMC, Addis Ababa, Ethiopia, 2020</w:t>
      </w:r>
      <w:bookmarkEnd w:id="15"/>
      <w:bookmarkEnd w:id="16"/>
    </w:p>
    <w:tbl>
      <w:tblPr>
        <w:tblStyle w:val="TableGrid"/>
        <w:tblW w:w="10020" w:type="dxa"/>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6"/>
        <w:gridCol w:w="2056"/>
        <w:gridCol w:w="1495"/>
        <w:gridCol w:w="1876"/>
        <w:gridCol w:w="3037"/>
      </w:tblGrid>
      <w:tr w:rsidR="002C49A7">
        <w:tc>
          <w:tcPr>
            <w:tcW w:w="1556"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Obstetrics characteristics</w:t>
            </w:r>
          </w:p>
        </w:tc>
        <w:tc>
          <w:tcPr>
            <w:tcW w:w="2056"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Category</w:t>
            </w:r>
          </w:p>
        </w:tc>
        <w:tc>
          <w:tcPr>
            <w:tcW w:w="1495"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Total (n=127) </w:t>
            </w:r>
            <w:proofErr w:type="gramStart"/>
            <w:r>
              <w:rPr>
                <w:rFonts w:ascii="Times New Roman" w:eastAsia="SimSun" w:hAnsi="Times New Roman" w:cs="Times New Roman"/>
                <w:b/>
                <w:sz w:val="24"/>
                <w:szCs w:val="24"/>
              </w:rPr>
              <w:t>n(</w:t>
            </w:r>
            <w:proofErr w:type="gramEnd"/>
            <w:r>
              <w:rPr>
                <w:rFonts w:ascii="Times New Roman" w:eastAsia="SimSun" w:hAnsi="Times New Roman" w:cs="Times New Roman"/>
                <w:b/>
                <w:sz w:val="24"/>
                <w:szCs w:val="24"/>
              </w:rPr>
              <w:t>%)</w:t>
            </w:r>
          </w:p>
        </w:tc>
        <w:tc>
          <w:tcPr>
            <w:tcW w:w="1876"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SIP (n=56)</w:t>
            </w:r>
          </w:p>
          <w:p w:rsidR="002C49A7" w:rsidRDefault="00247361">
            <w:pPr>
              <w:spacing w:after="0" w:line="360" w:lineRule="auto"/>
              <w:jc w:val="both"/>
              <w:rPr>
                <w:rFonts w:ascii="Times New Roman" w:eastAsia="SimSun" w:hAnsi="Times New Roman" w:cs="Times New Roman"/>
                <w:b/>
                <w:sz w:val="24"/>
                <w:szCs w:val="24"/>
              </w:rPr>
            </w:pPr>
            <w:proofErr w:type="gramStart"/>
            <w:r>
              <w:rPr>
                <w:rFonts w:ascii="Times New Roman" w:eastAsia="SimSun" w:hAnsi="Times New Roman" w:cs="Times New Roman"/>
                <w:b/>
                <w:sz w:val="24"/>
                <w:szCs w:val="24"/>
              </w:rPr>
              <w:t>n</w:t>
            </w:r>
            <w:proofErr w:type="gramEnd"/>
            <w:r>
              <w:rPr>
                <w:rFonts w:ascii="Times New Roman" w:eastAsia="SimSun" w:hAnsi="Times New Roman" w:cs="Times New Roman"/>
                <w:b/>
                <w:sz w:val="24"/>
                <w:szCs w:val="24"/>
              </w:rPr>
              <w:t xml:space="preserve"> (%)</w:t>
            </w:r>
          </w:p>
        </w:tc>
        <w:tc>
          <w:tcPr>
            <w:tcW w:w="3037"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No SIP (n=71)</w:t>
            </w:r>
          </w:p>
          <w:p w:rsidR="002C49A7" w:rsidRDefault="00247361">
            <w:pPr>
              <w:spacing w:after="0" w:line="360" w:lineRule="auto"/>
              <w:jc w:val="both"/>
              <w:rPr>
                <w:rFonts w:ascii="Times New Roman" w:eastAsia="SimSun" w:hAnsi="Times New Roman" w:cs="Times New Roman"/>
                <w:b/>
                <w:sz w:val="24"/>
                <w:szCs w:val="24"/>
              </w:rPr>
            </w:pPr>
            <w:proofErr w:type="gramStart"/>
            <w:r>
              <w:rPr>
                <w:rFonts w:ascii="Times New Roman" w:eastAsia="SimSun" w:hAnsi="Times New Roman" w:cs="Times New Roman"/>
                <w:b/>
                <w:sz w:val="24"/>
                <w:szCs w:val="24"/>
              </w:rPr>
              <w:t>n</w:t>
            </w:r>
            <w:proofErr w:type="gramEnd"/>
            <w:r>
              <w:rPr>
                <w:rFonts w:ascii="Times New Roman" w:eastAsia="SimSun" w:hAnsi="Times New Roman" w:cs="Times New Roman"/>
                <w:b/>
                <w:sz w:val="24"/>
                <w:szCs w:val="24"/>
              </w:rPr>
              <w:t xml:space="preserve"> (%)</w:t>
            </w:r>
          </w:p>
        </w:tc>
      </w:tr>
      <w:tr w:rsidR="002C49A7">
        <w:trPr>
          <w:trHeight w:val="120"/>
        </w:trPr>
        <w:tc>
          <w:tcPr>
            <w:tcW w:w="1556" w:type="dxa"/>
            <w:vMerge w:val="restart"/>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Parity</w:t>
            </w:r>
          </w:p>
        </w:tc>
        <w:tc>
          <w:tcPr>
            <w:tcW w:w="2056"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1-4</w:t>
            </w:r>
          </w:p>
        </w:tc>
        <w:tc>
          <w:tcPr>
            <w:tcW w:w="1495"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120 (94.5)</w:t>
            </w:r>
          </w:p>
        </w:tc>
        <w:tc>
          <w:tcPr>
            <w:tcW w:w="1876"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54 (96.4)</w:t>
            </w:r>
          </w:p>
        </w:tc>
        <w:tc>
          <w:tcPr>
            <w:tcW w:w="3037"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66 (93.0)</w:t>
            </w:r>
          </w:p>
        </w:tc>
      </w:tr>
      <w:tr w:rsidR="002C49A7">
        <w:trPr>
          <w:trHeight w:val="120"/>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5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 and above</w:t>
            </w:r>
          </w:p>
        </w:tc>
        <w:tc>
          <w:tcPr>
            <w:tcW w:w="149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7 (5.5)</w:t>
            </w:r>
          </w:p>
        </w:tc>
        <w:tc>
          <w:tcPr>
            <w:tcW w:w="187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 (3.6)</w:t>
            </w:r>
          </w:p>
        </w:tc>
        <w:tc>
          <w:tcPr>
            <w:tcW w:w="303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 (7.0)</w:t>
            </w:r>
          </w:p>
        </w:tc>
      </w:tr>
      <w:tr w:rsidR="002C49A7">
        <w:trPr>
          <w:trHeight w:val="180"/>
        </w:trPr>
        <w:tc>
          <w:tcPr>
            <w:tcW w:w="1556"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GA at delivery</w:t>
            </w:r>
          </w:p>
        </w:tc>
        <w:tc>
          <w:tcPr>
            <w:tcW w:w="205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w:t>
            </w:r>
            <w:r>
              <w:rPr>
                <w:rFonts w:ascii="Times New Roman" w:eastAsia="SimSun" w:hAnsi="Times New Roman" w:cs="Times New Roman"/>
                <w:sz w:val="24"/>
                <w:szCs w:val="24"/>
                <w:vertAlign w:val="superscript"/>
              </w:rPr>
              <w:t>nd</w:t>
            </w:r>
            <w:r>
              <w:rPr>
                <w:rFonts w:ascii="Times New Roman" w:eastAsia="SimSun" w:hAnsi="Times New Roman" w:cs="Times New Roman"/>
                <w:sz w:val="24"/>
                <w:szCs w:val="24"/>
              </w:rPr>
              <w:t xml:space="preserve"> Trimester </w:t>
            </w:r>
          </w:p>
        </w:tc>
        <w:tc>
          <w:tcPr>
            <w:tcW w:w="149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 (3.9)</w:t>
            </w:r>
          </w:p>
        </w:tc>
        <w:tc>
          <w:tcPr>
            <w:tcW w:w="187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(5.4)</w:t>
            </w:r>
          </w:p>
        </w:tc>
        <w:tc>
          <w:tcPr>
            <w:tcW w:w="303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 (2.8)</w:t>
            </w:r>
          </w:p>
        </w:tc>
      </w:tr>
      <w:tr w:rsidR="002C49A7">
        <w:trPr>
          <w:trHeight w:val="184"/>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5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Early Preterm</w:t>
            </w:r>
          </w:p>
        </w:tc>
        <w:tc>
          <w:tcPr>
            <w:tcW w:w="149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16 (12.6)</w:t>
            </w:r>
          </w:p>
        </w:tc>
        <w:tc>
          <w:tcPr>
            <w:tcW w:w="187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14 (25.0)</w:t>
            </w:r>
          </w:p>
        </w:tc>
        <w:tc>
          <w:tcPr>
            <w:tcW w:w="303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 (2.8)</w:t>
            </w:r>
          </w:p>
        </w:tc>
      </w:tr>
      <w:tr w:rsidR="002C49A7">
        <w:trPr>
          <w:trHeight w:val="195"/>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5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Late Preterm</w:t>
            </w:r>
          </w:p>
        </w:tc>
        <w:tc>
          <w:tcPr>
            <w:tcW w:w="149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 (15.7)</w:t>
            </w:r>
          </w:p>
        </w:tc>
        <w:tc>
          <w:tcPr>
            <w:tcW w:w="187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12 (21.4)</w:t>
            </w:r>
          </w:p>
        </w:tc>
        <w:tc>
          <w:tcPr>
            <w:tcW w:w="303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8 (11.3)</w:t>
            </w:r>
          </w:p>
        </w:tc>
      </w:tr>
      <w:tr w:rsidR="002C49A7">
        <w:trPr>
          <w:trHeight w:val="195"/>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5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Early Term</w:t>
            </w:r>
          </w:p>
        </w:tc>
        <w:tc>
          <w:tcPr>
            <w:tcW w:w="149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44 (34.6)</w:t>
            </w:r>
          </w:p>
        </w:tc>
        <w:tc>
          <w:tcPr>
            <w:tcW w:w="187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19 (33.9)</w:t>
            </w:r>
          </w:p>
        </w:tc>
        <w:tc>
          <w:tcPr>
            <w:tcW w:w="303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25 (35.2)</w:t>
            </w:r>
          </w:p>
        </w:tc>
      </w:tr>
      <w:tr w:rsidR="002C49A7">
        <w:trPr>
          <w:trHeight w:val="169"/>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5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Full term</w:t>
            </w:r>
          </w:p>
        </w:tc>
        <w:tc>
          <w:tcPr>
            <w:tcW w:w="149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42 (33.1)</w:t>
            </w:r>
          </w:p>
        </w:tc>
        <w:tc>
          <w:tcPr>
            <w:tcW w:w="187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8 (14.3)</w:t>
            </w:r>
          </w:p>
        </w:tc>
        <w:tc>
          <w:tcPr>
            <w:tcW w:w="303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34 (47.9)</w:t>
            </w:r>
          </w:p>
        </w:tc>
      </w:tr>
      <w:tr w:rsidR="002C49A7">
        <w:trPr>
          <w:trHeight w:val="135"/>
        </w:trPr>
        <w:tc>
          <w:tcPr>
            <w:tcW w:w="1556"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ANC follow up</w:t>
            </w:r>
          </w:p>
        </w:tc>
        <w:tc>
          <w:tcPr>
            <w:tcW w:w="205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No visit</w:t>
            </w:r>
          </w:p>
        </w:tc>
        <w:tc>
          <w:tcPr>
            <w:tcW w:w="149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 (3.2)</w:t>
            </w:r>
          </w:p>
        </w:tc>
        <w:tc>
          <w:tcPr>
            <w:tcW w:w="187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(5.4)</w:t>
            </w:r>
          </w:p>
        </w:tc>
        <w:tc>
          <w:tcPr>
            <w:tcW w:w="303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 (1.4)</w:t>
            </w:r>
          </w:p>
        </w:tc>
      </w:tr>
      <w:tr w:rsidR="002C49A7">
        <w:trPr>
          <w:trHeight w:val="180"/>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5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Regular ANC</w:t>
            </w:r>
          </w:p>
        </w:tc>
        <w:tc>
          <w:tcPr>
            <w:tcW w:w="149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30 (23.6)</w:t>
            </w:r>
          </w:p>
        </w:tc>
        <w:tc>
          <w:tcPr>
            <w:tcW w:w="187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7 (12.5)</w:t>
            </w:r>
          </w:p>
        </w:tc>
        <w:tc>
          <w:tcPr>
            <w:tcW w:w="303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23 (32.4)</w:t>
            </w:r>
          </w:p>
        </w:tc>
      </w:tr>
      <w:tr w:rsidR="002C49A7">
        <w:trPr>
          <w:trHeight w:val="184"/>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5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High risk</w:t>
            </w:r>
          </w:p>
        </w:tc>
        <w:tc>
          <w:tcPr>
            <w:tcW w:w="149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93(73.2)</w:t>
            </w:r>
          </w:p>
        </w:tc>
        <w:tc>
          <w:tcPr>
            <w:tcW w:w="187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46 (82.1)</w:t>
            </w:r>
          </w:p>
        </w:tc>
        <w:tc>
          <w:tcPr>
            <w:tcW w:w="303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47 (66.2)</w:t>
            </w:r>
          </w:p>
        </w:tc>
      </w:tr>
      <w:tr w:rsidR="002C49A7">
        <w:trPr>
          <w:trHeight w:val="195"/>
        </w:trPr>
        <w:tc>
          <w:tcPr>
            <w:tcW w:w="1556"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GA at Diagnosis of CHTN</w:t>
            </w:r>
          </w:p>
        </w:tc>
        <w:tc>
          <w:tcPr>
            <w:tcW w:w="205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Pre pregnancy</w:t>
            </w:r>
          </w:p>
        </w:tc>
        <w:tc>
          <w:tcPr>
            <w:tcW w:w="149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62 (48.8)</w:t>
            </w:r>
          </w:p>
        </w:tc>
        <w:tc>
          <w:tcPr>
            <w:tcW w:w="187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29 (51.8)</w:t>
            </w:r>
          </w:p>
        </w:tc>
        <w:tc>
          <w:tcPr>
            <w:tcW w:w="303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33 (46.5)</w:t>
            </w:r>
          </w:p>
        </w:tc>
      </w:tr>
      <w:tr w:rsidR="002C49A7">
        <w:trPr>
          <w:trHeight w:val="135"/>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5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Before 20wks pregnancy</w:t>
            </w:r>
          </w:p>
        </w:tc>
        <w:tc>
          <w:tcPr>
            <w:tcW w:w="149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65 (51.2)</w:t>
            </w:r>
          </w:p>
        </w:tc>
        <w:tc>
          <w:tcPr>
            <w:tcW w:w="1876"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27 (48.2)</w:t>
            </w:r>
          </w:p>
        </w:tc>
        <w:tc>
          <w:tcPr>
            <w:tcW w:w="303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38 (53.5)</w:t>
            </w:r>
          </w:p>
        </w:tc>
      </w:tr>
    </w:tbl>
    <w:p w:rsidR="002C49A7" w:rsidRDefault="002C49A7">
      <w:pPr>
        <w:spacing w:line="360" w:lineRule="auto"/>
        <w:jc w:val="both"/>
        <w:rPr>
          <w:rFonts w:ascii="Times New Roman" w:hAnsi="Times New Roman" w:cs="Times New Roman"/>
          <w:b/>
          <w:bCs/>
          <w:sz w:val="24"/>
          <w:szCs w:val="24"/>
        </w:rPr>
        <w:sectPr w:rsidR="002C49A7">
          <w:type w:val="continuous"/>
          <w:pgSz w:w="12240" w:h="15840"/>
          <w:pgMar w:top="1440" w:right="1080" w:bottom="1440" w:left="1080" w:header="720" w:footer="720" w:gutter="0"/>
          <w:cols w:space="425"/>
          <w:docGrid w:linePitch="360"/>
        </w:sectPr>
      </w:pPr>
    </w:p>
    <w:p w:rsidR="002C49A7" w:rsidRDefault="002C49A7">
      <w:pPr>
        <w:spacing w:line="360" w:lineRule="auto"/>
        <w:jc w:val="both"/>
        <w:rPr>
          <w:rFonts w:ascii="Times New Roman" w:hAnsi="Times New Roman" w:cs="Times New Roman"/>
          <w:b/>
          <w:bCs/>
          <w:sz w:val="24"/>
          <w:szCs w:val="24"/>
        </w:rPr>
      </w:pPr>
    </w:p>
    <w:p w:rsidR="002C49A7" w:rsidRDefault="002C49A7">
      <w:pPr>
        <w:spacing w:line="360" w:lineRule="auto"/>
        <w:jc w:val="both"/>
        <w:rPr>
          <w:rFonts w:ascii="Times New Roman" w:hAnsi="Times New Roman" w:cs="Times New Roman"/>
          <w:b/>
          <w:bCs/>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p>
    <w:p w:rsidR="002C49A7" w:rsidRDefault="00247361">
      <w:pPr>
        <w:spacing w:line="360" w:lineRule="auto"/>
        <w:rPr>
          <w:rFonts w:ascii="Times New Roman" w:hAnsi="Times New Roman" w:cs="Times New Roman"/>
          <w:b/>
          <w:bCs/>
          <w:color w:val="333333"/>
          <w:sz w:val="24"/>
          <w:szCs w:val="24"/>
          <w:shd w:val="clear" w:color="auto" w:fill="F9F7F7"/>
        </w:rPr>
      </w:pPr>
      <w:r>
        <w:rPr>
          <w:rFonts w:ascii="Times New Roman" w:hAnsi="Times New Roman" w:cs="Times New Roman"/>
          <w:b/>
          <w:bCs/>
          <w:sz w:val="24"/>
          <w:szCs w:val="24"/>
        </w:rPr>
        <w:lastRenderedPageBreak/>
        <w:t>Description of Perinatal outcome Characteristics of Study Participants</w:t>
      </w:r>
    </w:p>
    <w:p w:rsidR="002C49A7" w:rsidRDefault="00247361">
      <w:pPr>
        <w:pStyle w:val="Caption"/>
        <w:keepNext/>
        <w:spacing w:line="360" w:lineRule="auto"/>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Among the study participants, 118 (92.9%) of women delivered alive new born. Among new </w:t>
      </w:r>
      <w:r>
        <w:rPr>
          <w:rFonts w:ascii="Times New Roman" w:hAnsi="Times New Roman" w:cs="Times New Roman"/>
          <w:b w:val="0"/>
          <w:color w:val="auto"/>
          <w:sz w:val="24"/>
          <w:szCs w:val="24"/>
        </w:rPr>
        <w:lastRenderedPageBreak/>
        <w:t>born delivered, 78 (61.4%) of them had 5</w:t>
      </w:r>
      <w:r>
        <w:rPr>
          <w:rFonts w:ascii="Times New Roman" w:hAnsi="Times New Roman" w:cs="Times New Roman"/>
          <w:b w:val="0"/>
          <w:color w:val="auto"/>
          <w:sz w:val="24"/>
          <w:szCs w:val="24"/>
          <w:vertAlign w:val="superscript"/>
        </w:rPr>
        <w:t>th</w:t>
      </w:r>
      <w:r>
        <w:rPr>
          <w:rFonts w:ascii="Times New Roman" w:hAnsi="Times New Roman" w:cs="Times New Roman"/>
          <w:b w:val="0"/>
          <w:color w:val="auto"/>
          <w:sz w:val="24"/>
          <w:szCs w:val="24"/>
        </w:rPr>
        <w:t xml:space="preserve"> minute </w:t>
      </w:r>
      <w:proofErr w:type="gramStart"/>
      <w:r>
        <w:rPr>
          <w:rFonts w:ascii="Times New Roman" w:hAnsi="Times New Roman" w:cs="Times New Roman"/>
          <w:b w:val="0"/>
          <w:color w:val="auto"/>
          <w:sz w:val="24"/>
          <w:szCs w:val="24"/>
        </w:rPr>
        <w:t>APGAR</w:t>
      </w:r>
      <w:proofErr w:type="gramEnd"/>
      <w:r>
        <w:rPr>
          <w:rFonts w:ascii="Times New Roman" w:hAnsi="Times New Roman" w:cs="Times New Roman"/>
          <w:b w:val="0"/>
          <w:color w:val="auto"/>
          <w:sz w:val="24"/>
          <w:szCs w:val="24"/>
        </w:rPr>
        <w:t xml:space="preserve"> score of </w:t>
      </w:r>
      <w:r>
        <w:rPr>
          <w:rFonts w:ascii="Times New Roman" w:eastAsia="SimSun" w:hAnsi="Times New Roman" w:cs="Times New Roman"/>
          <w:b w:val="0"/>
          <w:bCs w:val="0"/>
          <w:color w:val="000000" w:themeColor="text1"/>
          <w:sz w:val="24"/>
          <w:szCs w:val="24"/>
          <w:u w:val="single"/>
        </w:rPr>
        <w:t>&gt;</w:t>
      </w:r>
      <w:r>
        <w:rPr>
          <w:rFonts w:ascii="Times New Roman" w:eastAsia="SimSun" w:hAnsi="Times New Roman" w:cs="Times New Roman"/>
          <w:b w:val="0"/>
          <w:bCs w:val="0"/>
          <w:color w:val="000000" w:themeColor="text1"/>
          <w:sz w:val="24"/>
          <w:szCs w:val="24"/>
        </w:rPr>
        <w:t xml:space="preserve"> 7</w:t>
      </w:r>
      <w:r>
        <w:rPr>
          <w:rFonts w:ascii="Times New Roman" w:hAnsi="Times New Roman" w:cs="Times New Roman"/>
          <w:b w:val="0"/>
          <w:color w:val="auto"/>
          <w:sz w:val="24"/>
          <w:szCs w:val="24"/>
        </w:rPr>
        <w:t xml:space="preserve"> and 66 (52%) of new born had birth weight of &gt; 2500gm and 96 (75.6%) of newborn were not in need of admission to neonatal ICU (Table 3)</w:t>
      </w:r>
    </w:p>
    <w:p w:rsidR="002C49A7" w:rsidRDefault="002C49A7">
      <w:pPr>
        <w:spacing w:line="360" w:lineRule="auto"/>
        <w:jc w:val="both"/>
        <w:rPr>
          <w:rFonts w:ascii="Times New Roman" w:hAnsi="Times New Roman" w:cs="Times New Roman"/>
          <w:b/>
          <w:bCs/>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p>
    <w:p w:rsidR="002C49A7" w:rsidRDefault="002C49A7">
      <w:pPr>
        <w:spacing w:line="360" w:lineRule="auto"/>
        <w:jc w:val="both"/>
        <w:rPr>
          <w:rFonts w:ascii="Times New Roman" w:hAnsi="Times New Roman" w:cs="Times New Roman"/>
          <w:b/>
          <w:bCs/>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jc w:val="both"/>
        <w:rPr>
          <w:rFonts w:ascii="Times New Roman" w:hAnsi="Times New Roman" w:cs="Times New Roman"/>
          <w:b/>
          <w:bCs/>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p>
    <w:p w:rsidR="002C49A7" w:rsidRDefault="00247361">
      <w:pPr>
        <w:pStyle w:val="Caption"/>
        <w:keepNext/>
        <w:spacing w:line="360" w:lineRule="auto"/>
        <w:jc w:val="both"/>
        <w:rPr>
          <w:rFonts w:ascii="Times New Roman" w:hAnsi="Times New Roman" w:cs="Times New Roman"/>
          <w:sz w:val="24"/>
          <w:szCs w:val="24"/>
        </w:rPr>
      </w:pPr>
      <w:bookmarkStart w:id="17" w:name="_Toc46707084"/>
      <w:r>
        <w:rPr>
          <w:rFonts w:ascii="Times New Roman" w:hAnsi="Times New Roman" w:cs="Times New Roman"/>
          <w:sz w:val="24"/>
          <w:szCs w:val="24"/>
        </w:rPr>
        <w:lastRenderedPageBreak/>
        <w:t xml:space="preserve">Table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 \* ARABIC </w:instrText>
      </w:r>
      <w:r>
        <w:rPr>
          <w:rFonts w:ascii="Times New Roman" w:hAnsi="Times New Roman" w:cs="Times New Roman"/>
          <w:sz w:val="24"/>
          <w:szCs w:val="24"/>
        </w:rPr>
        <w:fldChar w:fldCharType="separate"/>
      </w:r>
      <w:r w:rsidR="00854F81">
        <w:rPr>
          <w:rFonts w:ascii="Times New Roman" w:hAnsi="Times New Roman" w:cs="Times New Roman"/>
          <w:noProof/>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t>: Perinatal outcome characteristics of mothers with chronic hypertension with and without superimposed preeclampsia at SPHMMC, Addis Ababa, Ethiopia, 2020</w:t>
      </w:r>
      <w:bookmarkEnd w:id="17"/>
    </w:p>
    <w:tbl>
      <w:tblPr>
        <w:tblStyle w:val="TableGrid"/>
        <w:tblW w:w="10021" w:type="dxa"/>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6"/>
        <w:gridCol w:w="2044"/>
        <w:gridCol w:w="1502"/>
        <w:gridCol w:w="1879"/>
        <w:gridCol w:w="3040"/>
      </w:tblGrid>
      <w:tr w:rsidR="002C49A7">
        <w:tc>
          <w:tcPr>
            <w:tcW w:w="1556"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Perinatal outcome characteristics</w:t>
            </w:r>
          </w:p>
        </w:tc>
        <w:tc>
          <w:tcPr>
            <w:tcW w:w="2044"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Category</w:t>
            </w:r>
          </w:p>
        </w:tc>
        <w:tc>
          <w:tcPr>
            <w:tcW w:w="1502"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Total (n=127) </w:t>
            </w:r>
            <w:proofErr w:type="gramStart"/>
            <w:r>
              <w:rPr>
                <w:rFonts w:ascii="Times New Roman" w:eastAsia="SimSun" w:hAnsi="Times New Roman" w:cs="Times New Roman"/>
                <w:b/>
                <w:sz w:val="24"/>
                <w:szCs w:val="24"/>
              </w:rPr>
              <w:t>n(</w:t>
            </w:r>
            <w:proofErr w:type="gramEnd"/>
            <w:r>
              <w:rPr>
                <w:rFonts w:ascii="Times New Roman" w:eastAsia="SimSun" w:hAnsi="Times New Roman" w:cs="Times New Roman"/>
                <w:b/>
                <w:sz w:val="24"/>
                <w:szCs w:val="24"/>
              </w:rPr>
              <w:t>%)</w:t>
            </w:r>
          </w:p>
        </w:tc>
        <w:tc>
          <w:tcPr>
            <w:tcW w:w="1879"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SIP (n=56)</w:t>
            </w:r>
          </w:p>
          <w:p w:rsidR="002C49A7" w:rsidRDefault="00247361">
            <w:pPr>
              <w:spacing w:after="0" w:line="360" w:lineRule="auto"/>
              <w:jc w:val="both"/>
              <w:rPr>
                <w:rFonts w:ascii="Times New Roman" w:eastAsia="SimSun" w:hAnsi="Times New Roman" w:cs="Times New Roman"/>
                <w:b/>
                <w:sz w:val="24"/>
                <w:szCs w:val="24"/>
              </w:rPr>
            </w:pPr>
            <w:proofErr w:type="gramStart"/>
            <w:r>
              <w:rPr>
                <w:rFonts w:ascii="Times New Roman" w:eastAsia="SimSun" w:hAnsi="Times New Roman" w:cs="Times New Roman"/>
                <w:b/>
                <w:sz w:val="24"/>
                <w:szCs w:val="24"/>
              </w:rPr>
              <w:t>n</w:t>
            </w:r>
            <w:proofErr w:type="gramEnd"/>
            <w:r>
              <w:rPr>
                <w:rFonts w:ascii="Times New Roman" w:eastAsia="SimSun" w:hAnsi="Times New Roman" w:cs="Times New Roman"/>
                <w:b/>
                <w:sz w:val="24"/>
                <w:szCs w:val="24"/>
              </w:rPr>
              <w:t xml:space="preserve"> (%)</w:t>
            </w:r>
          </w:p>
        </w:tc>
        <w:tc>
          <w:tcPr>
            <w:tcW w:w="3040"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No SIP (n=71)</w:t>
            </w:r>
          </w:p>
          <w:p w:rsidR="002C49A7" w:rsidRDefault="00247361">
            <w:pPr>
              <w:spacing w:after="0" w:line="360" w:lineRule="auto"/>
              <w:jc w:val="both"/>
              <w:rPr>
                <w:rFonts w:ascii="Times New Roman" w:eastAsia="SimSun" w:hAnsi="Times New Roman" w:cs="Times New Roman"/>
                <w:b/>
                <w:sz w:val="24"/>
                <w:szCs w:val="24"/>
              </w:rPr>
            </w:pPr>
            <w:proofErr w:type="gramStart"/>
            <w:r>
              <w:rPr>
                <w:rFonts w:ascii="Times New Roman" w:eastAsia="SimSun" w:hAnsi="Times New Roman" w:cs="Times New Roman"/>
                <w:b/>
                <w:sz w:val="24"/>
                <w:szCs w:val="24"/>
              </w:rPr>
              <w:t>n</w:t>
            </w:r>
            <w:proofErr w:type="gramEnd"/>
            <w:r>
              <w:rPr>
                <w:rFonts w:ascii="Times New Roman" w:eastAsia="SimSun" w:hAnsi="Times New Roman" w:cs="Times New Roman"/>
                <w:b/>
                <w:sz w:val="24"/>
                <w:szCs w:val="24"/>
              </w:rPr>
              <w:t xml:space="preserve"> (%)</w:t>
            </w:r>
          </w:p>
        </w:tc>
      </w:tr>
      <w:tr w:rsidR="002C49A7">
        <w:trPr>
          <w:trHeight w:val="190"/>
        </w:trPr>
        <w:tc>
          <w:tcPr>
            <w:tcW w:w="1556" w:type="dxa"/>
            <w:vMerge w:val="restart"/>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New born</w:t>
            </w:r>
          </w:p>
        </w:tc>
        <w:tc>
          <w:tcPr>
            <w:tcW w:w="2044"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Still birth</w:t>
            </w:r>
          </w:p>
        </w:tc>
        <w:tc>
          <w:tcPr>
            <w:tcW w:w="1502"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 (3.1)</w:t>
            </w:r>
          </w:p>
        </w:tc>
        <w:tc>
          <w:tcPr>
            <w:tcW w:w="1879"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(5.4)</w:t>
            </w:r>
          </w:p>
        </w:tc>
        <w:tc>
          <w:tcPr>
            <w:tcW w:w="3040"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 (1.4)</w:t>
            </w:r>
          </w:p>
        </w:tc>
      </w:tr>
      <w:tr w:rsidR="002C49A7">
        <w:trPr>
          <w:trHeight w:val="135"/>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4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Abortion</w:t>
            </w:r>
          </w:p>
        </w:tc>
        <w:tc>
          <w:tcPr>
            <w:tcW w:w="150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 (3.9)</w:t>
            </w:r>
          </w:p>
        </w:tc>
        <w:tc>
          <w:tcPr>
            <w:tcW w:w="187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(5.4)</w:t>
            </w:r>
          </w:p>
        </w:tc>
        <w:tc>
          <w:tcPr>
            <w:tcW w:w="304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 (2.8)</w:t>
            </w:r>
          </w:p>
        </w:tc>
      </w:tr>
      <w:tr w:rsidR="002C49A7">
        <w:trPr>
          <w:trHeight w:val="135"/>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4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Alive</w:t>
            </w:r>
          </w:p>
        </w:tc>
        <w:tc>
          <w:tcPr>
            <w:tcW w:w="150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118 (92.9)</w:t>
            </w:r>
          </w:p>
        </w:tc>
        <w:tc>
          <w:tcPr>
            <w:tcW w:w="187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50 (89.3)</w:t>
            </w:r>
          </w:p>
        </w:tc>
        <w:tc>
          <w:tcPr>
            <w:tcW w:w="304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68 (95.8)</w:t>
            </w:r>
          </w:p>
        </w:tc>
      </w:tr>
      <w:tr w:rsidR="002C49A7">
        <w:trPr>
          <w:trHeight w:val="120"/>
        </w:trPr>
        <w:tc>
          <w:tcPr>
            <w:tcW w:w="1556"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w:t>
            </w:r>
            <w:r>
              <w:rPr>
                <w:rFonts w:ascii="Times New Roman" w:eastAsia="SimSun" w:hAnsi="Times New Roman" w:cs="Times New Roman"/>
                <w:sz w:val="24"/>
                <w:szCs w:val="24"/>
                <w:vertAlign w:val="superscript"/>
              </w:rPr>
              <w:t>th</w:t>
            </w:r>
            <w:r>
              <w:rPr>
                <w:rFonts w:ascii="Times New Roman" w:eastAsia="SimSun" w:hAnsi="Times New Roman" w:cs="Times New Roman"/>
                <w:sz w:val="24"/>
                <w:szCs w:val="24"/>
              </w:rPr>
              <w:t xml:space="preserve"> minute APGAR score</w:t>
            </w:r>
          </w:p>
        </w:tc>
        <w:tc>
          <w:tcPr>
            <w:tcW w:w="204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&lt; 5</w:t>
            </w:r>
          </w:p>
        </w:tc>
        <w:tc>
          <w:tcPr>
            <w:tcW w:w="150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 (1.6)</w:t>
            </w:r>
          </w:p>
        </w:tc>
        <w:tc>
          <w:tcPr>
            <w:tcW w:w="187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 (3.6)</w:t>
            </w:r>
          </w:p>
        </w:tc>
        <w:tc>
          <w:tcPr>
            <w:tcW w:w="304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 (0.0)</w:t>
            </w:r>
          </w:p>
        </w:tc>
      </w:tr>
      <w:tr w:rsidR="002C49A7">
        <w:trPr>
          <w:trHeight w:val="120"/>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4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5-7</w:t>
            </w:r>
          </w:p>
        </w:tc>
        <w:tc>
          <w:tcPr>
            <w:tcW w:w="150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38 (29.9)</w:t>
            </w:r>
          </w:p>
        </w:tc>
        <w:tc>
          <w:tcPr>
            <w:tcW w:w="187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23 (41.1)</w:t>
            </w:r>
          </w:p>
        </w:tc>
        <w:tc>
          <w:tcPr>
            <w:tcW w:w="304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15 (21.1)</w:t>
            </w:r>
          </w:p>
        </w:tc>
      </w:tr>
      <w:tr w:rsidR="002C49A7">
        <w:trPr>
          <w:trHeight w:val="120"/>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4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u w:val="single"/>
              </w:rPr>
              <w:t>&gt;</w:t>
            </w:r>
            <w:r>
              <w:rPr>
                <w:rFonts w:ascii="Times New Roman" w:eastAsia="SimSun" w:hAnsi="Times New Roman" w:cs="Times New Roman"/>
                <w:sz w:val="24"/>
                <w:szCs w:val="24"/>
              </w:rPr>
              <w:t xml:space="preserve"> 7</w:t>
            </w:r>
          </w:p>
        </w:tc>
        <w:tc>
          <w:tcPr>
            <w:tcW w:w="150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78 (61.4)</w:t>
            </w:r>
          </w:p>
        </w:tc>
        <w:tc>
          <w:tcPr>
            <w:tcW w:w="187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25 (44.6)</w:t>
            </w:r>
          </w:p>
        </w:tc>
        <w:tc>
          <w:tcPr>
            <w:tcW w:w="304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53 (74.6)</w:t>
            </w:r>
          </w:p>
        </w:tc>
      </w:tr>
      <w:tr w:rsidR="002C49A7">
        <w:trPr>
          <w:trHeight w:val="120"/>
        </w:trPr>
        <w:tc>
          <w:tcPr>
            <w:tcW w:w="1556" w:type="dxa"/>
          </w:tcPr>
          <w:p w:rsidR="002C49A7" w:rsidRDefault="002C49A7">
            <w:pPr>
              <w:spacing w:after="0" w:line="360" w:lineRule="auto"/>
              <w:jc w:val="both"/>
              <w:rPr>
                <w:rFonts w:ascii="Times New Roman" w:eastAsia="SimSun" w:hAnsi="Times New Roman" w:cs="Times New Roman"/>
                <w:sz w:val="24"/>
                <w:szCs w:val="24"/>
              </w:rPr>
            </w:pPr>
          </w:p>
        </w:tc>
        <w:tc>
          <w:tcPr>
            <w:tcW w:w="204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NA</w:t>
            </w:r>
          </w:p>
        </w:tc>
        <w:tc>
          <w:tcPr>
            <w:tcW w:w="150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9 (7.1)</w:t>
            </w:r>
          </w:p>
        </w:tc>
        <w:tc>
          <w:tcPr>
            <w:tcW w:w="187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 (10.7)</w:t>
            </w:r>
          </w:p>
        </w:tc>
        <w:tc>
          <w:tcPr>
            <w:tcW w:w="304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(4.2)</w:t>
            </w:r>
          </w:p>
        </w:tc>
      </w:tr>
      <w:tr w:rsidR="002C49A7">
        <w:trPr>
          <w:trHeight w:val="105"/>
        </w:trPr>
        <w:tc>
          <w:tcPr>
            <w:tcW w:w="1556"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Birth weight</w:t>
            </w:r>
          </w:p>
        </w:tc>
        <w:tc>
          <w:tcPr>
            <w:tcW w:w="204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&lt;1000gm</w:t>
            </w:r>
          </w:p>
        </w:tc>
        <w:tc>
          <w:tcPr>
            <w:tcW w:w="150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 (4.7)</w:t>
            </w:r>
          </w:p>
        </w:tc>
        <w:tc>
          <w:tcPr>
            <w:tcW w:w="187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(5.4)</w:t>
            </w:r>
          </w:p>
        </w:tc>
        <w:tc>
          <w:tcPr>
            <w:tcW w:w="304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(4.2)</w:t>
            </w:r>
          </w:p>
        </w:tc>
      </w:tr>
      <w:tr w:rsidR="002C49A7">
        <w:trPr>
          <w:trHeight w:val="105"/>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4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1000-1500gm</w:t>
            </w:r>
          </w:p>
        </w:tc>
        <w:tc>
          <w:tcPr>
            <w:tcW w:w="150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 (4.7)</w:t>
            </w:r>
          </w:p>
        </w:tc>
        <w:tc>
          <w:tcPr>
            <w:tcW w:w="187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 (10.7)</w:t>
            </w:r>
          </w:p>
        </w:tc>
        <w:tc>
          <w:tcPr>
            <w:tcW w:w="304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 (0.0)</w:t>
            </w:r>
          </w:p>
        </w:tc>
      </w:tr>
      <w:tr w:rsidR="002C49A7">
        <w:trPr>
          <w:trHeight w:val="120"/>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4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1501-2500gm</w:t>
            </w:r>
          </w:p>
        </w:tc>
        <w:tc>
          <w:tcPr>
            <w:tcW w:w="150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49 (38.6)</w:t>
            </w:r>
          </w:p>
        </w:tc>
        <w:tc>
          <w:tcPr>
            <w:tcW w:w="187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30 (53.6)</w:t>
            </w:r>
          </w:p>
        </w:tc>
        <w:tc>
          <w:tcPr>
            <w:tcW w:w="304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19 (26.8)</w:t>
            </w:r>
          </w:p>
        </w:tc>
      </w:tr>
      <w:tr w:rsidR="002C49A7">
        <w:trPr>
          <w:trHeight w:val="118"/>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4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&gt;2500 </w:t>
            </w:r>
            <w:proofErr w:type="spellStart"/>
            <w:r>
              <w:rPr>
                <w:rFonts w:ascii="Times New Roman" w:eastAsia="SimSun" w:hAnsi="Times New Roman" w:cs="Times New Roman"/>
                <w:sz w:val="24"/>
                <w:szCs w:val="24"/>
              </w:rPr>
              <w:t>gm</w:t>
            </w:r>
            <w:proofErr w:type="spellEnd"/>
          </w:p>
        </w:tc>
        <w:tc>
          <w:tcPr>
            <w:tcW w:w="150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66 (52.0)</w:t>
            </w:r>
          </w:p>
        </w:tc>
        <w:tc>
          <w:tcPr>
            <w:tcW w:w="187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17 (30.4)</w:t>
            </w:r>
          </w:p>
        </w:tc>
        <w:tc>
          <w:tcPr>
            <w:tcW w:w="304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49 (69.0)</w:t>
            </w:r>
          </w:p>
        </w:tc>
      </w:tr>
      <w:tr w:rsidR="002C49A7">
        <w:trPr>
          <w:trHeight w:val="215"/>
        </w:trPr>
        <w:tc>
          <w:tcPr>
            <w:tcW w:w="1556"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Need for NICU Admission</w:t>
            </w:r>
          </w:p>
        </w:tc>
        <w:tc>
          <w:tcPr>
            <w:tcW w:w="204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Yes</w:t>
            </w:r>
          </w:p>
        </w:tc>
        <w:tc>
          <w:tcPr>
            <w:tcW w:w="150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22 (17.3)</w:t>
            </w:r>
          </w:p>
        </w:tc>
        <w:tc>
          <w:tcPr>
            <w:tcW w:w="187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19 (33.9)</w:t>
            </w:r>
          </w:p>
        </w:tc>
        <w:tc>
          <w:tcPr>
            <w:tcW w:w="304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(4.2)</w:t>
            </w:r>
          </w:p>
        </w:tc>
      </w:tr>
      <w:tr w:rsidR="002C49A7">
        <w:trPr>
          <w:trHeight w:val="188"/>
        </w:trPr>
        <w:tc>
          <w:tcPr>
            <w:tcW w:w="1556" w:type="dxa"/>
            <w:vMerge/>
          </w:tcPr>
          <w:p w:rsidR="002C49A7" w:rsidRDefault="002C49A7">
            <w:pPr>
              <w:spacing w:after="0" w:line="360" w:lineRule="auto"/>
              <w:jc w:val="both"/>
              <w:rPr>
                <w:rFonts w:ascii="Times New Roman" w:eastAsia="SimSun" w:hAnsi="Times New Roman" w:cs="Times New Roman"/>
                <w:sz w:val="24"/>
                <w:szCs w:val="24"/>
              </w:rPr>
            </w:pPr>
          </w:p>
        </w:tc>
        <w:tc>
          <w:tcPr>
            <w:tcW w:w="204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No</w:t>
            </w:r>
          </w:p>
        </w:tc>
        <w:tc>
          <w:tcPr>
            <w:tcW w:w="150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96(75.6)</w:t>
            </w:r>
          </w:p>
        </w:tc>
        <w:tc>
          <w:tcPr>
            <w:tcW w:w="187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31 (55.4)</w:t>
            </w:r>
          </w:p>
        </w:tc>
        <w:tc>
          <w:tcPr>
            <w:tcW w:w="304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65(91.5)</w:t>
            </w:r>
          </w:p>
        </w:tc>
      </w:tr>
      <w:tr w:rsidR="002C49A7">
        <w:trPr>
          <w:trHeight w:val="188"/>
        </w:trPr>
        <w:tc>
          <w:tcPr>
            <w:tcW w:w="1556" w:type="dxa"/>
          </w:tcPr>
          <w:p w:rsidR="002C49A7" w:rsidRDefault="002C49A7">
            <w:pPr>
              <w:spacing w:after="0" w:line="360" w:lineRule="auto"/>
              <w:jc w:val="both"/>
              <w:rPr>
                <w:rFonts w:ascii="Times New Roman" w:eastAsia="SimSun" w:hAnsi="Times New Roman" w:cs="Times New Roman"/>
                <w:sz w:val="24"/>
                <w:szCs w:val="24"/>
              </w:rPr>
            </w:pPr>
          </w:p>
        </w:tc>
        <w:tc>
          <w:tcPr>
            <w:tcW w:w="204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NA</w:t>
            </w:r>
          </w:p>
        </w:tc>
        <w:tc>
          <w:tcPr>
            <w:tcW w:w="150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9 (7.1)</w:t>
            </w:r>
          </w:p>
        </w:tc>
        <w:tc>
          <w:tcPr>
            <w:tcW w:w="187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 (10.7)</w:t>
            </w:r>
          </w:p>
        </w:tc>
        <w:tc>
          <w:tcPr>
            <w:tcW w:w="304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(4.2)</w:t>
            </w:r>
          </w:p>
        </w:tc>
      </w:tr>
    </w:tbl>
    <w:p w:rsidR="002C49A7" w:rsidRDefault="002C49A7">
      <w:pPr>
        <w:spacing w:line="360" w:lineRule="auto"/>
        <w:jc w:val="both"/>
        <w:rPr>
          <w:rFonts w:ascii="Times New Roman" w:hAnsi="Times New Roman" w:cs="Times New Roman"/>
          <w:b/>
          <w:sz w:val="24"/>
          <w:szCs w:val="24"/>
        </w:rPr>
        <w:sectPr w:rsidR="002C49A7">
          <w:type w:val="continuous"/>
          <w:pgSz w:w="12240" w:h="15840"/>
          <w:pgMar w:top="1440" w:right="1080" w:bottom="1440" w:left="1080" w:header="720" w:footer="720" w:gutter="0"/>
          <w:cols w:space="425"/>
          <w:docGrid w:linePitch="360"/>
        </w:sectPr>
      </w:pPr>
    </w:p>
    <w:p w:rsidR="002C49A7" w:rsidRDefault="002C49A7">
      <w:pPr>
        <w:spacing w:line="360" w:lineRule="auto"/>
        <w:jc w:val="both"/>
        <w:rPr>
          <w:rFonts w:ascii="Times New Roman" w:hAnsi="Times New Roman" w:cs="Times New Roman"/>
          <w:b/>
          <w:sz w:val="24"/>
          <w:szCs w:val="24"/>
        </w:rPr>
      </w:pPr>
    </w:p>
    <w:p w:rsidR="002C49A7" w:rsidRDefault="002C49A7">
      <w:pPr>
        <w:spacing w:line="360" w:lineRule="auto"/>
        <w:jc w:val="both"/>
        <w:rPr>
          <w:rFonts w:ascii="Times New Roman" w:hAnsi="Times New Roman" w:cs="Times New Roman"/>
          <w:b/>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p>
    <w:p w:rsidR="002C49A7" w:rsidRDefault="00247361">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Description of other factors of mothers with superimposed preeclampsia</w:t>
      </w:r>
    </w:p>
    <w:p w:rsidR="002C49A7" w:rsidRDefault="00247361">
      <w:pPr>
        <w:spacing w:line="360" w:lineRule="auto"/>
        <w:jc w:val="both"/>
        <w:rPr>
          <w:rFonts w:ascii="Times New Roman" w:hAnsi="Times New Roman" w:cs="Times New Roman"/>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r>
        <w:rPr>
          <w:rFonts w:ascii="Times New Roman" w:hAnsi="Times New Roman" w:cs="Times New Roman"/>
          <w:sz w:val="24"/>
          <w:szCs w:val="24"/>
        </w:rPr>
        <w:t xml:space="preserve">Among the total 56 mothers with superimposed preeclampsia, for 30 (53.6%) of them the </w:t>
      </w:r>
      <w:r>
        <w:rPr>
          <w:rFonts w:ascii="Times New Roman" w:hAnsi="Times New Roman" w:cs="Times New Roman"/>
          <w:sz w:val="24"/>
          <w:szCs w:val="24"/>
        </w:rPr>
        <w:lastRenderedPageBreak/>
        <w:t xml:space="preserve">diagnosis of superimposed preeclampsia was diagnosed after 34 weeks of gestation. Most, 43 (76.8%) of them were diagnosed with severe form of preeclampsia. Mode of delivery for 34 (60.7%) of them were </w:t>
      </w:r>
      <w:proofErr w:type="gramStart"/>
      <w:r>
        <w:rPr>
          <w:rFonts w:ascii="Times New Roman" w:hAnsi="Times New Roman" w:cs="Times New Roman"/>
          <w:sz w:val="24"/>
          <w:szCs w:val="24"/>
        </w:rPr>
        <w:t>by  cesarean</w:t>
      </w:r>
      <w:proofErr w:type="gramEnd"/>
      <w:r>
        <w:rPr>
          <w:rFonts w:ascii="Times New Roman" w:hAnsi="Times New Roman" w:cs="Times New Roman"/>
          <w:sz w:val="24"/>
          <w:szCs w:val="24"/>
        </w:rPr>
        <w:t xml:space="preserve"> section (CS).</w:t>
      </w:r>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(See table 4 below)</w:t>
      </w:r>
    </w:p>
    <w:p w:rsidR="002C49A7" w:rsidRDefault="002C49A7">
      <w:pPr>
        <w:spacing w:line="360" w:lineRule="auto"/>
        <w:jc w:val="both"/>
        <w:rPr>
          <w:rFonts w:ascii="Times New Roman" w:hAnsi="Times New Roman" w:cs="Times New Roman"/>
          <w:sz w:val="24"/>
          <w:szCs w:val="24"/>
        </w:rPr>
      </w:pPr>
    </w:p>
    <w:p w:rsidR="002C49A7" w:rsidRDefault="002C49A7">
      <w:pPr>
        <w:pStyle w:val="Caption"/>
        <w:spacing w:line="360" w:lineRule="auto"/>
        <w:jc w:val="both"/>
        <w:rPr>
          <w:rFonts w:ascii="Times New Roman" w:hAnsi="Times New Roman" w:cs="Times New Roman"/>
          <w:sz w:val="24"/>
          <w:szCs w:val="24"/>
        </w:rPr>
      </w:pPr>
    </w:p>
    <w:p w:rsidR="002C49A7" w:rsidRDefault="002C49A7">
      <w:pPr>
        <w:rPr>
          <w:rFonts w:ascii="Times New Roman" w:hAnsi="Times New Roman" w:cs="Times New Roman"/>
          <w:sz w:val="24"/>
          <w:szCs w:val="24"/>
        </w:rPr>
      </w:pPr>
    </w:p>
    <w:p w:rsidR="002C49A7" w:rsidRDefault="002C49A7">
      <w:pPr>
        <w:rPr>
          <w:rFonts w:ascii="Times New Roman" w:hAnsi="Times New Roman" w:cs="Times New Roman"/>
          <w:sz w:val="24"/>
          <w:szCs w:val="24"/>
        </w:rPr>
      </w:pPr>
    </w:p>
    <w:p w:rsidR="002C49A7" w:rsidRDefault="002C49A7">
      <w:pPr>
        <w:rPr>
          <w:rFonts w:ascii="Times New Roman" w:hAnsi="Times New Roman" w:cs="Times New Roman"/>
          <w:sz w:val="24"/>
          <w:szCs w:val="24"/>
        </w:rPr>
        <w:sectPr w:rsidR="002C49A7">
          <w:type w:val="continuous"/>
          <w:pgSz w:w="12240" w:h="15840"/>
          <w:pgMar w:top="1440" w:right="1800" w:bottom="1440" w:left="1800" w:header="720" w:footer="720" w:gutter="0"/>
          <w:cols w:num="2" w:space="720" w:equalWidth="0">
            <w:col w:w="4107" w:space="425"/>
            <w:col w:w="4107"/>
          </w:cols>
          <w:docGrid w:linePitch="360"/>
        </w:sectPr>
      </w:pPr>
    </w:p>
    <w:p w:rsidR="002C49A7" w:rsidRDefault="00247361">
      <w:pPr>
        <w:pStyle w:val="Caption"/>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 \* ARABIC </w:instrText>
      </w:r>
      <w:r>
        <w:rPr>
          <w:rFonts w:ascii="Times New Roman" w:hAnsi="Times New Roman" w:cs="Times New Roman"/>
          <w:sz w:val="24"/>
          <w:szCs w:val="24"/>
        </w:rPr>
        <w:fldChar w:fldCharType="separate"/>
      </w:r>
      <w:r w:rsidR="00854F81">
        <w:rPr>
          <w:rFonts w:ascii="Times New Roman" w:hAnsi="Times New Roman" w:cs="Times New Roman"/>
          <w:noProof/>
          <w:sz w:val="24"/>
          <w:szCs w:val="24"/>
        </w:rPr>
        <w:t>4</w:t>
      </w:r>
      <w:r>
        <w:rPr>
          <w:rFonts w:ascii="Times New Roman" w:hAnsi="Times New Roman" w:cs="Times New Roman"/>
          <w:sz w:val="24"/>
          <w:szCs w:val="24"/>
        </w:rPr>
        <w:fldChar w:fldCharType="end"/>
      </w:r>
      <w:r>
        <w:rPr>
          <w:rFonts w:ascii="Times New Roman" w:hAnsi="Times New Roman" w:cs="Times New Roman"/>
          <w:sz w:val="24"/>
          <w:szCs w:val="24"/>
        </w:rPr>
        <w:t>: Description of other factors of mothers with superimposed preeclampsia, SPHMMC, Addis Ababa, 2020</w:t>
      </w:r>
    </w:p>
    <w:tbl>
      <w:tblPr>
        <w:tblStyle w:val="ListTable31"/>
        <w:tblW w:w="10065" w:type="dxa"/>
        <w:tblInd w:w="-582"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3029"/>
        <w:gridCol w:w="2228"/>
        <w:gridCol w:w="1530"/>
        <w:gridCol w:w="3278"/>
      </w:tblGrid>
      <w:tr w:rsidR="002C49A7" w:rsidTr="002C49A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29" w:type="dxa"/>
            <w:tcBorders>
              <w:bottom w:val="single" w:sz="4" w:space="0" w:color="auto"/>
              <w:right w:val="single" w:sz="4" w:space="0" w:color="auto"/>
            </w:tcBorders>
            <w:shd w:val="clear" w:color="auto" w:fill="CFCDCD" w:themeFill="background2" w:themeFillShade="E5"/>
          </w:tcPr>
          <w:p w:rsidR="002C49A7" w:rsidRDefault="00247361">
            <w:pPr>
              <w:autoSpaceDE w:val="0"/>
              <w:autoSpaceDN w:val="0"/>
              <w:adjustRightInd w:val="0"/>
              <w:spacing w:after="0" w:line="360" w:lineRule="auto"/>
              <w:jc w:val="both"/>
              <w:rPr>
                <w:rFonts w:ascii="Times New Roman" w:hAnsi="Times New Roman" w:cs="Times New Roman"/>
                <w:b w:val="0"/>
                <w:bCs w:val="0"/>
                <w:sz w:val="24"/>
                <w:szCs w:val="24"/>
              </w:rPr>
            </w:pPr>
            <w:r>
              <w:rPr>
                <w:rFonts w:ascii="Times New Roman" w:hAnsi="Times New Roman" w:cs="Times New Roman"/>
                <w:sz w:val="24"/>
                <w:szCs w:val="24"/>
              </w:rPr>
              <w:t>Factor</w:t>
            </w:r>
          </w:p>
        </w:tc>
        <w:tc>
          <w:tcPr>
            <w:tcW w:w="2228" w:type="dxa"/>
            <w:tcBorders>
              <w:left w:val="single" w:sz="4" w:space="0" w:color="auto"/>
              <w:bottom w:val="single" w:sz="4" w:space="0" w:color="auto"/>
            </w:tcBorders>
            <w:shd w:val="clear" w:color="auto" w:fill="CFCDCD" w:themeFill="background2" w:themeFillShade="E5"/>
          </w:tcPr>
          <w:p w:rsidR="002C49A7" w:rsidRDefault="00247361">
            <w:pPr>
              <w:autoSpaceDE w:val="0"/>
              <w:autoSpaceDN w:val="0"/>
              <w:adjustRightInd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Category</w:t>
            </w:r>
          </w:p>
        </w:tc>
        <w:tc>
          <w:tcPr>
            <w:tcW w:w="1530" w:type="dxa"/>
            <w:tcBorders>
              <w:bottom w:val="single" w:sz="4" w:space="0" w:color="auto"/>
            </w:tcBorders>
            <w:shd w:val="clear" w:color="auto" w:fill="CFCDCD" w:themeFill="background2" w:themeFillShade="E5"/>
          </w:tcPr>
          <w:p w:rsidR="002C49A7" w:rsidRDefault="00247361">
            <w:pPr>
              <w:autoSpaceDE w:val="0"/>
              <w:autoSpaceDN w:val="0"/>
              <w:adjustRightInd w:val="0"/>
              <w:spacing w:after="0" w:line="360" w:lineRule="auto"/>
              <w:ind w:left="60" w:right="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4"/>
                <w:szCs w:val="24"/>
              </w:rPr>
            </w:pPr>
            <w:r>
              <w:rPr>
                <w:rFonts w:ascii="Times New Roman" w:hAnsi="Times New Roman" w:cs="Times New Roman"/>
                <w:color w:val="000000"/>
                <w:sz w:val="24"/>
                <w:szCs w:val="24"/>
              </w:rPr>
              <w:t>Frequency</w:t>
            </w:r>
          </w:p>
        </w:tc>
        <w:tc>
          <w:tcPr>
            <w:tcW w:w="3278" w:type="dxa"/>
            <w:tcBorders>
              <w:bottom w:val="single" w:sz="4" w:space="0" w:color="auto"/>
            </w:tcBorders>
            <w:shd w:val="clear" w:color="auto" w:fill="CFCDCD" w:themeFill="background2" w:themeFillShade="E5"/>
          </w:tcPr>
          <w:p w:rsidR="002C49A7" w:rsidRDefault="00247361">
            <w:pPr>
              <w:autoSpaceDE w:val="0"/>
              <w:autoSpaceDN w:val="0"/>
              <w:adjustRightInd w:val="0"/>
              <w:spacing w:after="0" w:line="360" w:lineRule="auto"/>
              <w:ind w:left="60" w:right="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4"/>
                <w:szCs w:val="24"/>
              </w:rPr>
            </w:pPr>
            <w:r>
              <w:rPr>
                <w:rFonts w:ascii="Times New Roman" w:hAnsi="Times New Roman" w:cs="Times New Roman"/>
                <w:color w:val="000000"/>
                <w:sz w:val="24"/>
                <w:szCs w:val="24"/>
              </w:rPr>
              <w:t>Percentage</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val="restart"/>
            <w:tcBorders>
              <w:top w:val="single" w:sz="4" w:space="0" w:color="auto"/>
              <w:right w:val="single" w:sz="4" w:space="0" w:color="auto"/>
            </w:tcBorders>
            <w:shd w:val="clear" w:color="auto" w:fill="auto"/>
          </w:tcPr>
          <w:p w:rsidR="002C49A7" w:rsidRDefault="00247361">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GA at Diagnosis of SIP</w:t>
            </w:r>
          </w:p>
        </w:tc>
        <w:tc>
          <w:tcPr>
            <w:tcW w:w="2228" w:type="dxa"/>
            <w:tcBorders>
              <w:top w:val="single" w:sz="4" w:space="0" w:color="auto"/>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&lt;34</w:t>
            </w:r>
          </w:p>
        </w:tc>
        <w:tc>
          <w:tcPr>
            <w:tcW w:w="1530" w:type="dxa"/>
            <w:tcBorders>
              <w:top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26</w:t>
            </w:r>
          </w:p>
        </w:tc>
        <w:tc>
          <w:tcPr>
            <w:tcW w:w="3278" w:type="dxa"/>
            <w:tcBorders>
              <w:top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46.4%</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tcBorders>
              <w:right w:val="single" w:sz="4" w:space="0" w:color="auto"/>
            </w:tcBorders>
            <w:shd w:val="clear" w:color="auto" w:fill="auto"/>
          </w:tcPr>
          <w:p w:rsidR="002C49A7" w:rsidRDefault="002C49A7">
            <w:pPr>
              <w:autoSpaceDE w:val="0"/>
              <w:autoSpaceDN w:val="0"/>
              <w:adjustRightInd w:val="0"/>
              <w:spacing w:after="0" w:line="360" w:lineRule="auto"/>
              <w:jc w:val="both"/>
              <w:rPr>
                <w:rFonts w:ascii="Times New Roman" w:hAnsi="Times New Roman" w:cs="Times New Roman"/>
                <w:color w:val="000000"/>
                <w:sz w:val="24"/>
                <w:szCs w:val="24"/>
              </w:rPr>
            </w:pP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&gt;34</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53.6%</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val="restart"/>
            <w:tcBorders>
              <w:right w:val="single" w:sz="4" w:space="0" w:color="auto"/>
            </w:tcBorders>
            <w:shd w:val="clear" w:color="auto" w:fill="auto"/>
          </w:tcPr>
          <w:p w:rsidR="002C49A7" w:rsidRDefault="00247361">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Type of SIP</w:t>
            </w: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With SF</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43</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76.8%</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tcBorders>
              <w:right w:val="single" w:sz="4" w:space="0" w:color="auto"/>
            </w:tcBorders>
            <w:shd w:val="clear" w:color="auto" w:fill="auto"/>
          </w:tcPr>
          <w:p w:rsidR="002C49A7" w:rsidRDefault="002C49A7">
            <w:pPr>
              <w:autoSpaceDE w:val="0"/>
              <w:autoSpaceDN w:val="0"/>
              <w:adjustRightInd w:val="0"/>
              <w:spacing w:after="0" w:line="360" w:lineRule="auto"/>
              <w:jc w:val="both"/>
              <w:rPr>
                <w:rFonts w:ascii="Times New Roman" w:hAnsi="Times New Roman" w:cs="Times New Roman"/>
                <w:color w:val="000000"/>
                <w:sz w:val="24"/>
                <w:szCs w:val="24"/>
              </w:rPr>
            </w:pP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Without SF</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23.2%</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val="restart"/>
            <w:tcBorders>
              <w:right w:val="single" w:sz="4" w:space="0" w:color="auto"/>
            </w:tcBorders>
            <w:shd w:val="clear" w:color="auto" w:fill="auto"/>
          </w:tcPr>
          <w:p w:rsidR="002C49A7" w:rsidRDefault="00247361">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Dexamethasone</w:t>
            </w: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No</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28.6%</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tcBorders>
              <w:right w:val="single" w:sz="4" w:space="0" w:color="auto"/>
            </w:tcBorders>
            <w:shd w:val="clear" w:color="auto" w:fill="auto"/>
          </w:tcPr>
          <w:p w:rsidR="002C49A7" w:rsidRDefault="002C49A7">
            <w:pPr>
              <w:autoSpaceDE w:val="0"/>
              <w:autoSpaceDN w:val="0"/>
              <w:adjustRightInd w:val="0"/>
              <w:spacing w:after="0" w:line="360" w:lineRule="auto"/>
              <w:jc w:val="both"/>
              <w:rPr>
                <w:rFonts w:ascii="Times New Roman" w:hAnsi="Times New Roman" w:cs="Times New Roman"/>
                <w:color w:val="000000"/>
                <w:sz w:val="24"/>
                <w:szCs w:val="24"/>
              </w:rPr>
            </w:pP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Yes</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40</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71.4%</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val="restart"/>
            <w:tcBorders>
              <w:right w:val="single" w:sz="4" w:space="0" w:color="auto"/>
            </w:tcBorders>
            <w:shd w:val="clear" w:color="auto" w:fill="auto"/>
          </w:tcPr>
          <w:p w:rsidR="002C49A7" w:rsidRDefault="00247361">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Labor Onset</w:t>
            </w: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Direct CS</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21.4%</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tcBorders>
              <w:right w:val="single" w:sz="4" w:space="0" w:color="auto"/>
            </w:tcBorders>
            <w:shd w:val="clear" w:color="auto" w:fill="auto"/>
          </w:tcPr>
          <w:p w:rsidR="002C49A7" w:rsidRDefault="002C49A7">
            <w:pPr>
              <w:autoSpaceDE w:val="0"/>
              <w:autoSpaceDN w:val="0"/>
              <w:adjustRightInd w:val="0"/>
              <w:spacing w:after="0" w:line="360" w:lineRule="auto"/>
              <w:jc w:val="both"/>
              <w:rPr>
                <w:rFonts w:ascii="Times New Roman" w:hAnsi="Times New Roman" w:cs="Times New Roman"/>
                <w:color w:val="000000"/>
                <w:sz w:val="24"/>
                <w:szCs w:val="24"/>
              </w:rPr>
            </w:pP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Induced</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38</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67.9%</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tcBorders>
              <w:right w:val="single" w:sz="4" w:space="0" w:color="auto"/>
            </w:tcBorders>
            <w:shd w:val="clear" w:color="auto" w:fill="auto"/>
          </w:tcPr>
          <w:p w:rsidR="002C49A7" w:rsidRDefault="002C49A7">
            <w:pPr>
              <w:autoSpaceDE w:val="0"/>
              <w:autoSpaceDN w:val="0"/>
              <w:adjustRightInd w:val="0"/>
              <w:spacing w:after="0" w:line="360" w:lineRule="auto"/>
              <w:jc w:val="both"/>
              <w:rPr>
                <w:rFonts w:ascii="Times New Roman" w:hAnsi="Times New Roman" w:cs="Times New Roman"/>
                <w:color w:val="000000"/>
                <w:sz w:val="24"/>
                <w:szCs w:val="24"/>
              </w:rPr>
            </w:pP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 xml:space="preserve">Spontaneous onset </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10.7%</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val="restart"/>
            <w:tcBorders>
              <w:right w:val="single" w:sz="4" w:space="0" w:color="auto"/>
            </w:tcBorders>
            <w:shd w:val="clear" w:color="auto" w:fill="auto"/>
          </w:tcPr>
          <w:p w:rsidR="002C49A7" w:rsidRDefault="00247361">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Delivery Mode</w:t>
            </w: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CS</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60.7%</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tcBorders>
              <w:right w:val="single" w:sz="4" w:space="0" w:color="auto"/>
            </w:tcBorders>
            <w:shd w:val="clear" w:color="auto" w:fill="auto"/>
          </w:tcPr>
          <w:p w:rsidR="002C49A7" w:rsidRDefault="002C49A7">
            <w:pPr>
              <w:autoSpaceDE w:val="0"/>
              <w:autoSpaceDN w:val="0"/>
              <w:adjustRightInd w:val="0"/>
              <w:spacing w:after="0" w:line="360" w:lineRule="auto"/>
              <w:jc w:val="both"/>
              <w:rPr>
                <w:rFonts w:ascii="Times New Roman" w:hAnsi="Times New Roman" w:cs="Times New Roman"/>
                <w:color w:val="000000"/>
                <w:sz w:val="24"/>
                <w:szCs w:val="24"/>
              </w:rPr>
            </w:pP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Vaginal</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39.3%</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val="restart"/>
            <w:tcBorders>
              <w:right w:val="single" w:sz="4" w:space="0" w:color="auto"/>
            </w:tcBorders>
            <w:shd w:val="clear" w:color="auto" w:fill="auto"/>
          </w:tcPr>
          <w:p w:rsidR="002C49A7" w:rsidRDefault="00247361">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GA at initiation of </w:t>
            </w:r>
            <w:proofErr w:type="spellStart"/>
            <w:r>
              <w:rPr>
                <w:rFonts w:ascii="Times New Roman" w:hAnsi="Times New Roman" w:cs="Times New Roman"/>
                <w:color w:val="000000"/>
                <w:sz w:val="24"/>
                <w:szCs w:val="24"/>
              </w:rPr>
              <w:t>Anti hypertensive</w:t>
            </w:r>
            <w:proofErr w:type="spellEnd"/>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&lt;28 Weeks</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53.6%</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tcBorders>
              <w:right w:val="single" w:sz="4" w:space="0" w:color="auto"/>
            </w:tcBorders>
            <w:shd w:val="clear" w:color="auto" w:fill="auto"/>
          </w:tcPr>
          <w:p w:rsidR="002C49A7" w:rsidRDefault="002C49A7">
            <w:pPr>
              <w:autoSpaceDE w:val="0"/>
              <w:autoSpaceDN w:val="0"/>
              <w:adjustRightInd w:val="0"/>
              <w:spacing w:after="0" w:line="360" w:lineRule="auto"/>
              <w:jc w:val="both"/>
              <w:rPr>
                <w:rFonts w:ascii="Times New Roman" w:hAnsi="Times New Roman" w:cs="Times New Roman"/>
                <w:color w:val="000000"/>
                <w:sz w:val="24"/>
                <w:szCs w:val="24"/>
              </w:rPr>
            </w:pP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&gt;28 Weeks</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16.1%</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tcBorders>
              <w:right w:val="single" w:sz="4" w:space="0" w:color="auto"/>
            </w:tcBorders>
            <w:shd w:val="clear" w:color="auto" w:fill="auto"/>
          </w:tcPr>
          <w:p w:rsidR="002C49A7" w:rsidRDefault="002C49A7">
            <w:pPr>
              <w:autoSpaceDE w:val="0"/>
              <w:autoSpaceDN w:val="0"/>
              <w:adjustRightInd w:val="0"/>
              <w:spacing w:after="0" w:line="360" w:lineRule="auto"/>
              <w:jc w:val="both"/>
              <w:rPr>
                <w:rFonts w:ascii="Times New Roman" w:hAnsi="Times New Roman" w:cs="Times New Roman"/>
                <w:color w:val="000000"/>
                <w:sz w:val="24"/>
                <w:szCs w:val="24"/>
              </w:rPr>
            </w:pP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Pre pregnancy</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30.4%</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val="restart"/>
            <w:tcBorders>
              <w:right w:val="single" w:sz="4" w:space="0" w:color="auto"/>
            </w:tcBorders>
            <w:shd w:val="clear" w:color="auto" w:fill="auto"/>
          </w:tcPr>
          <w:p w:rsidR="002C49A7" w:rsidRDefault="00247361">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Duration of HTN</w:t>
            </w: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&lt;1 Year</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24</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42.9%</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tcBorders>
              <w:right w:val="single" w:sz="4" w:space="0" w:color="auto"/>
            </w:tcBorders>
            <w:shd w:val="clear" w:color="auto" w:fill="auto"/>
          </w:tcPr>
          <w:p w:rsidR="002C49A7" w:rsidRDefault="002C49A7">
            <w:pPr>
              <w:autoSpaceDE w:val="0"/>
              <w:autoSpaceDN w:val="0"/>
              <w:adjustRightInd w:val="0"/>
              <w:spacing w:after="0" w:line="360" w:lineRule="auto"/>
              <w:jc w:val="both"/>
              <w:rPr>
                <w:rFonts w:ascii="Times New Roman" w:hAnsi="Times New Roman" w:cs="Times New Roman"/>
                <w:color w:val="000000"/>
                <w:sz w:val="24"/>
                <w:szCs w:val="24"/>
              </w:rPr>
            </w:pP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&lt;5 Years</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44.6%</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tcBorders>
              <w:right w:val="single" w:sz="4" w:space="0" w:color="auto"/>
            </w:tcBorders>
            <w:shd w:val="clear" w:color="auto" w:fill="auto"/>
          </w:tcPr>
          <w:p w:rsidR="002C49A7" w:rsidRDefault="002C49A7">
            <w:pPr>
              <w:autoSpaceDE w:val="0"/>
              <w:autoSpaceDN w:val="0"/>
              <w:adjustRightInd w:val="0"/>
              <w:spacing w:after="0" w:line="360" w:lineRule="auto"/>
              <w:jc w:val="both"/>
              <w:rPr>
                <w:rFonts w:ascii="Times New Roman" w:hAnsi="Times New Roman" w:cs="Times New Roman"/>
                <w:color w:val="000000"/>
                <w:sz w:val="24"/>
                <w:szCs w:val="24"/>
              </w:rPr>
            </w:pP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&gt;5Years</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12.5%</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val="restart"/>
            <w:tcBorders>
              <w:right w:val="single" w:sz="4" w:space="0" w:color="auto"/>
            </w:tcBorders>
            <w:shd w:val="clear" w:color="auto" w:fill="auto"/>
          </w:tcPr>
          <w:p w:rsidR="002C49A7" w:rsidRDefault="00247361">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Use of Aspirin</w:t>
            </w: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No</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24</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42.9%</w:t>
            </w:r>
          </w:p>
        </w:tc>
      </w:tr>
      <w:tr w:rsidR="002C49A7" w:rsidTr="002C49A7">
        <w:tc>
          <w:tcPr>
            <w:cnfStyle w:val="001000000000" w:firstRow="0" w:lastRow="0" w:firstColumn="1" w:lastColumn="0" w:oddVBand="0" w:evenVBand="0" w:oddHBand="0" w:evenHBand="0" w:firstRowFirstColumn="0" w:firstRowLastColumn="0" w:lastRowFirstColumn="0" w:lastRowLastColumn="0"/>
            <w:tcW w:w="3029" w:type="dxa"/>
            <w:vMerge/>
            <w:tcBorders>
              <w:right w:val="single" w:sz="4" w:space="0" w:color="auto"/>
            </w:tcBorders>
            <w:shd w:val="clear" w:color="auto" w:fill="auto"/>
          </w:tcPr>
          <w:p w:rsidR="002C49A7" w:rsidRDefault="002C49A7">
            <w:pPr>
              <w:autoSpaceDE w:val="0"/>
              <w:autoSpaceDN w:val="0"/>
              <w:adjustRightInd w:val="0"/>
              <w:spacing w:after="0" w:line="360" w:lineRule="auto"/>
              <w:jc w:val="both"/>
              <w:rPr>
                <w:rFonts w:ascii="Times New Roman" w:hAnsi="Times New Roman" w:cs="Times New Roman"/>
                <w:color w:val="000000"/>
                <w:sz w:val="24"/>
                <w:szCs w:val="24"/>
              </w:rPr>
            </w:pPr>
          </w:p>
        </w:tc>
        <w:tc>
          <w:tcPr>
            <w:tcW w:w="2228" w:type="dxa"/>
            <w:tcBorders>
              <w:left w:val="single" w:sz="4" w:space="0" w:color="auto"/>
            </w:tcBorders>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Yes</w:t>
            </w:r>
          </w:p>
        </w:tc>
        <w:tc>
          <w:tcPr>
            <w:tcW w:w="1530"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3278" w:type="dxa"/>
            <w:shd w:val="clear" w:color="auto" w:fill="auto"/>
          </w:tcPr>
          <w:p w:rsidR="002C49A7" w:rsidRDefault="00247361">
            <w:pPr>
              <w:autoSpaceDE w:val="0"/>
              <w:autoSpaceDN w:val="0"/>
              <w:adjustRightInd w:val="0"/>
              <w:spacing w:after="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57.1%</w:t>
            </w:r>
          </w:p>
        </w:tc>
      </w:tr>
    </w:tbl>
    <w:p w:rsidR="002C49A7" w:rsidRDefault="002C49A7">
      <w:pPr>
        <w:spacing w:line="360" w:lineRule="auto"/>
        <w:jc w:val="both"/>
        <w:rPr>
          <w:rFonts w:ascii="Times New Roman" w:hAnsi="Times New Roman" w:cs="Times New Roman"/>
          <w:bCs/>
          <w:sz w:val="24"/>
          <w:szCs w:val="24"/>
        </w:rPr>
      </w:pPr>
    </w:p>
    <w:p w:rsidR="002C49A7" w:rsidRDefault="002C49A7">
      <w:pPr>
        <w:spacing w:line="360" w:lineRule="auto"/>
        <w:jc w:val="both"/>
        <w:rPr>
          <w:rFonts w:ascii="Times New Roman" w:hAnsi="Times New Roman" w:cs="Times New Roman"/>
          <w:b/>
          <w:sz w:val="24"/>
          <w:szCs w:val="24"/>
        </w:rPr>
        <w:sectPr w:rsidR="002C49A7">
          <w:type w:val="continuous"/>
          <w:pgSz w:w="12240" w:h="15840"/>
          <w:pgMar w:top="1440" w:right="1800" w:bottom="1440" w:left="1800" w:header="720" w:footer="720" w:gutter="0"/>
          <w:cols w:space="425"/>
          <w:docGrid w:linePitch="360"/>
        </w:sectPr>
      </w:pPr>
    </w:p>
    <w:p w:rsidR="002C49A7" w:rsidRDefault="00247361">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Prevalence of super imposed preeclampsia among pregnant women with chronic hypertension</w:t>
      </w:r>
    </w:p>
    <w:p w:rsidR="002C49A7" w:rsidRDefault="00247361">
      <w:p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The prevalence of super imposed preeclampsia among pregnant women with chronic hypertension admitted to emergency OPD, </w:t>
      </w:r>
      <w:r>
        <w:rPr>
          <w:rFonts w:ascii="Times New Roman" w:hAnsi="Times New Roman" w:cs="Times New Roman"/>
          <w:sz w:val="24"/>
          <w:szCs w:val="24"/>
        </w:rPr>
        <w:lastRenderedPageBreak/>
        <w:t>maternity and labor ward for delivery at SPHMMC from February 1, 2019 to January 31, 2020 is the proportion of pregnant women with chronic HTN with superimposed preeclampsia to total women with chronic HTN participated in this study, and would be 56/127=44.1%</w:t>
      </w:r>
    </w:p>
    <w:p w:rsidR="002C49A7" w:rsidRDefault="00247361">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Factors associated with superimposed preeclampsia </w:t>
      </w:r>
    </w:p>
    <w:p w:rsidR="002C49A7" w:rsidRDefault="0024736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Bi </w:t>
      </w:r>
      <w:proofErr w:type="spellStart"/>
      <w:r>
        <w:rPr>
          <w:rFonts w:ascii="Times New Roman" w:hAnsi="Times New Roman" w:cs="Times New Roman"/>
          <w:b/>
          <w:bCs/>
          <w:sz w:val="24"/>
          <w:szCs w:val="24"/>
        </w:rPr>
        <w:t>variate</w:t>
      </w:r>
      <w:proofErr w:type="spellEnd"/>
      <w:r>
        <w:rPr>
          <w:rFonts w:ascii="Times New Roman" w:hAnsi="Times New Roman" w:cs="Times New Roman"/>
          <w:b/>
          <w:bCs/>
          <w:sz w:val="24"/>
          <w:szCs w:val="24"/>
        </w:rPr>
        <w:t xml:space="preserve"> analysis</w:t>
      </w:r>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Bi </w:t>
      </w:r>
      <w:proofErr w:type="spellStart"/>
      <w:r>
        <w:rPr>
          <w:rFonts w:ascii="Times New Roman" w:hAnsi="Times New Roman" w:cs="Times New Roman"/>
          <w:sz w:val="24"/>
          <w:szCs w:val="24"/>
        </w:rPr>
        <w:t>variate</w:t>
      </w:r>
      <w:proofErr w:type="spellEnd"/>
      <w:r>
        <w:rPr>
          <w:rFonts w:ascii="Times New Roman" w:hAnsi="Times New Roman" w:cs="Times New Roman"/>
          <w:sz w:val="24"/>
          <w:szCs w:val="24"/>
        </w:rPr>
        <w:t xml:space="preserve"> analysis indicates that mothers who had ANC follow up at high risk (COR=3.2, 95% CI: </w:t>
      </w:r>
      <w:r>
        <w:rPr>
          <w:rFonts w:ascii="Times New Roman" w:hAnsi="Times New Roman" w:cs="Times New Roman"/>
          <w:sz w:val="24"/>
          <w:szCs w:val="24"/>
        </w:rPr>
        <w:lastRenderedPageBreak/>
        <w:t>1.3-8.3), early preterm (COR=29.8, 95% CI</w:t>
      </w:r>
      <w:proofErr w:type="gramStart"/>
      <w:r>
        <w:rPr>
          <w:rFonts w:ascii="Times New Roman" w:hAnsi="Times New Roman" w:cs="Times New Roman"/>
          <w:sz w:val="24"/>
          <w:szCs w:val="24"/>
        </w:rPr>
        <w:t>:5.6</w:t>
      </w:r>
      <w:proofErr w:type="gramEnd"/>
      <w:r>
        <w:rPr>
          <w:rFonts w:ascii="Times New Roman" w:hAnsi="Times New Roman" w:cs="Times New Roman"/>
          <w:sz w:val="24"/>
          <w:szCs w:val="24"/>
        </w:rPr>
        <w:t>-158.0), late preterm (COR=6.4, 95% CI: 2.0-20.8) and early term (COR=3.2, 95%:1.2-8.6) are likely to develop superimposed preeclampsia (table 5 below)</w:t>
      </w:r>
    </w:p>
    <w:p w:rsidR="002C49A7" w:rsidRDefault="002C49A7">
      <w:pPr>
        <w:pStyle w:val="Caption"/>
        <w:spacing w:line="360" w:lineRule="auto"/>
        <w:jc w:val="both"/>
        <w:rPr>
          <w:rFonts w:ascii="Times New Roman" w:hAnsi="Times New Roman" w:cs="Times New Roman"/>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p>
    <w:p w:rsidR="002C49A7" w:rsidRDefault="002C49A7">
      <w:pPr>
        <w:pStyle w:val="Caption"/>
        <w:spacing w:line="360" w:lineRule="auto"/>
        <w:jc w:val="both"/>
        <w:rPr>
          <w:rFonts w:ascii="Times New Roman" w:hAnsi="Times New Roman" w:cs="Times New Roman"/>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p>
    <w:p w:rsidR="002C49A7" w:rsidRDefault="00247361">
      <w:pPr>
        <w:pStyle w:val="Caption"/>
        <w:shd w:val="clear" w:color="auto" w:fill="FFFFFF" w:themeFill="background1"/>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 \* ARABIC </w:instrText>
      </w:r>
      <w:r>
        <w:rPr>
          <w:rFonts w:ascii="Times New Roman" w:hAnsi="Times New Roman" w:cs="Times New Roman"/>
          <w:sz w:val="24"/>
          <w:szCs w:val="24"/>
        </w:rPr>
        <w:fldChar w:fldCharType="separate"/>
      </w:r>
      <w:r w:rsidR="00854F81">
        <w:rPr>
          <w:rFonts w:ascii="Times New Roman" w:hAnsi="Times New Roman" w:cs="Times New Roman"/>
          <w:noProof/>
          <w:sz w:val="24"/>
          <w:szCs w:val="24"/>
        </w:rPr>
        <w:t>5</w:t>
      </w:r>
      <w:r>
        <w:rPr>
          <w:rFonts w:ascii="Times New Roman" w:hAnsi="Times New Roman" w:cs="Times New Roman"/>
          <w:sz w:val="24"/>
          <w:szCs w:val="24"/>
        </w:rPr>
        <w:fldChar w:fldCharType="end"/>
      </w:r>
      <w:r>
        <w:rPr>
          <w:rFonts w:ascii="Times New Roman" w:hAnsi="Times New Roman" w:cs="Times New Roman"/>
          <w:sz w:val="24"/>
          <w:szCs w:val="24"/>
        </w:rPr>
        <w:t>: Bivariate analysis indicating factors associated with superimposed preeclampsia, SPHMMC, Addis Ababa, 2020</w:t>
      </w:r>
    </w:p>
    <w:tbl>
      <w:tblPr>
        <w:tblStyle w:val="TableGrid"/>
        <w:tblW w:w="10095" w:type="dxa"/>
        <w:tblInd w:w="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22"/>
        <w:gridCol w:w="1929"/>
        <w:gridCol w:w="1561"/>
        <w:gridCol w:w="1561"/>
        <w:gridCol w:w="880"/>
        <w:gridCol w:w="1038"/>
        <w:gridCol w:w="1804"/>
      </w:tblGrid>
      <w:tr w:rsidR="002C49A7">
        <w:tc>
          <w:tcPr>
            <w:tcW w:w="1322"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Factor</w:t>
            </w:r>
          </w:p>
        </w:tc>
        <w:tc>
          <w:tcPr>
            <w:tcW w:w="1929"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Category</w:t>
            </w:r>
          </w:p>
        </w:tc>
        <w:tc>
          <w:tcPr>
            <w:tcW w:w="1561"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SIP (n=56)</w:t>
            </w:r>
          </w:p>
          <w:p w:rsidR="002C49A7" w:rsidRDefault="00247361">
            <w:pPr>
              <w:spacing w:after="0" w:line="360" w:lineRule="auto"/>
              <w:jc w:val="both"/>
              <w:rPr>
                <w:rFonts w:ascii="Times New Roman" w:eastAsia="SimSun" w:hAnsi="Times New Roman" w:cs="Times New Roman"/>
                <w:b/>
                <w:bCs/>
                <w:sz w:val="24"/>
                <w:szCs w:val="24"/>
              </w:rPr>
            </w:pPr>
            <w:proofErr w:type="gramStart"/>
            <w:r>
              <w:rPr>
                <w:rFonts w:ascii="Times New Roman" w:eastAsia="SimSun" w:hAnsi="Times New Roman" w:cs="Times New Roman"/>
                <w:b/>
                <w:sz w:val="24"/>
                <w:szCs w:val="24"/>
              </w:rPr>
              <w:t>n</w:t>
            </w:r>
            <w:proofErr w:type="gramEnd"/>
            <w:r>
              <w:rPr>
                <w:rFonts w:ascii="Times New Roman" w:eastAsia="SimSun" w:hAnsi="Times New Roman" w:cs="Times New Roman"/>
                <w:b/>
                <w:sz w:val="24"/>
                <w:szCs w:val="24"/>
              </w:rPr>
              <w:t xml:space="preserve"> (%)</w:t>
            </w:r>
          </w:p>
        </w:tc>
        <w:tc>
          <w:tcPr>
            <w:tcW w:w="1561"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No SIP (n=71)</w:t>
            </w:r>
          </w:p>
          <w:p w:rsidR="002C49A7" w:rsidRDefault="00247361">
            <w:pPr>
              <w:spacing w:after="0" w:line="360" w:lineRule="auto"/>
              <w:jc w:val="both"/>
              <w:rPr>
                <w:rFonts w:ascii="Times New Roman" w:eastAsia="SimSun" w:hAnsi="Times New Roman" w:cs="Times New Roman"/>
                <w:b/>
                <w:bCs/>
                <w:sz w:val="24"/>
                <w:szCs w:val="24"/>
              </w:rPr>
            </w:pPr>
            <w:proofErr w:type="gramStart"/>
            <w:r>
              <w:rPr>
                <w:rFonts w:ascii="Times New Roman" w:eastAsia="SimSun" w:hAnsi="Times New Roman" w:cs="Times New Roman"/>
                <w:b/>
                <w:sz w:val="24"/>
                <w:szCs w:val="24"/>
              </w:rPr>
              <w:t>n</w:t>
            </w:r>
            <w:proofErr w:type="gramEnd"/>
            <w:r>
              <w:rPr>
                <w:rFonts w:ascii="Times New Roman" w:eastAsia="SimSun" w:hAnsi="Times New Roman" w:cs="Times New Roman"/>
                <w:b/>
                <w:sz w:val="24"/>
                <w:szCs w:val="24"/>
              </w:rPr>
              <w:t xml:space="preserve"> (%)</w:t>
            </w:r>
          </w:p>
        </w:tc>
        <w:tc>
          <w:tcPr>
            <w:tcW w:w="880"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COR</w:t>
            </w:r>
          </w:p>
        </w:tc>
        <w:tc>
          <w:tcPr>
            <w:tcW w:w="1038"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95% CI</w:t>
            </w:r>
          </w:p>
        </w:tc>
        <w:tc>
          <w:tcPr>
            <w:tcW w:w="1804" w:type="dxa"/>
            <w:tcBorders>
              <w:bottom w:val="single" w:sz="4" w:space="0" w:color="auto"/>
            </w:tcBorders>
            <w:shd w:val="clear" w:color="auto" w:fill="CFCDCD" w:themeFill="background2" w:themeFillShade="E5"/>
          </w:tcPr>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P value</w:t>
            </w:r>
          </w:p>
        </w:tc>
      </w:tr>
      <w:tr w:rsidR="002C49A7">
        <w:tc>
          <w:tcPr>
            <w:tcW w:w="1322" w:type="dxa"/>
            <w:vMerge w:val="restart"/>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GA by Week</w:t>
            </w:r>
          </w:p>
        </w:tc>
        <w:tc>
          <w:tcPr>
            <w:tcW w:w="1929"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w:t>
            </w:r>
            <w:r>
              <w:rPr>
                <w:rFonts w:ascii="Times New Roman" w:eastAsia="SimSun" w:hAnsi="Times New Roman" w:cs="Times New Roman"/>
                <w:sz w:val="24"/>
                <w:szCs w:val="24"/>
                <w:vertAlign w:val="superscript"/>
              </w:rPr>
              <w:t>nd</w:t>
            </w:r>
            <w:r>
              <w:rPr>
                <w:rFonts w:ascii="Times New Roman" w:eastAsia="SimSun" w:hAnsi="Times New Roman" w:cs="Times New Roman"/>
                <w:sz w:val="24"/>
                <w:szCs w:val="24"/>
              </w:rPr>
              <w:t xml:space="preserve"> Trimester</w:t>
            </w:r>
          </w:p>
        </w:tc>
        <w:tc>
          <w:tcPr>
            <w:tcW w:w="1561"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(5.4)</w:t>
            </w:r>
          </w:p>
        </w:tc>
        <w:tc>
          <w:tcPr>
            <w:tcW w:w="1561"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 (2.8)</w:t>
            </w:r>
          </w:p>
        </w:tc>
        <w:tc>
          <w:tcPr>
            <w:tcW w:w="880"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6.4</w:t>
            </w:r>
          </w:p>
        </w:tc>
        <w:tc>
          <w:tcPr>
            <w:tcW w:w="1038"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0.9-44.7</w:t>
            </w:r>
          </w:p>
        </w:tc>
        <w:tc>
          <w:tcPr>
            <w:tcW w:w="1804" w:type="dxa"/>
            <w:tcBorders>
              <w:top w:val="single" w:sz="4" w:space="0" w:color="auto"/>
            </w:tcBorders>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0.062</w:t>
            </w:r>
          </w:p>
        </w:tc>
      </w:tr>
      <w:tr w:rsidR="002C49A7">
        <w:tc>
          <w:tcPr>
            <w:tcW w:w="1322" w:type="dxa"/>
            <w:vMerge/>
          </w:tcPr>
          <w:p w:rsidR="002C49A7" w:rsidRDefault="002C49A7">
            <w:pPr>
              <w:spacing w:after="0" w:line="360" w:lineRule="auto"/>
              <w:jc w:val="both"/>
              <w:rPr>
                <w:rFonts w:ascii="Times New Roman" w:eastAsia="SimSun" w:hAnsi="Times New Roman" w:cs="Times New Roman"/>
                <w:sz w:val="24"/>
                <w:szCs w:val="24"/>
              </w:rPr>
            </w:pPr>
          </w:p>
        </w:tc>
        <w:tc>
          <w:tcPr>
            <w:tcW w:w="192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Early Preterm</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14 (25.0)</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 (2.8)</w:t>
            </w:r>
          </w:p>
        </w:tc>
        <w:tc>
          <w:tcPr>
            <w:tcW w:w="8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29.8</w:t>
            </w:r>
          </w:p>
        </w:tc>
        <w:tc>
          <w:tcPr>
            <w:tcW w:w="1038"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5.6-158</w:t>
            </w:r>
          </w:p>
        </w:tc>
        <w:tc>
          <w:tcPr>
            <w:tcW w:w="180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0.001</w:t>
            </w:r>
          </w:p>
        </w:tc>
      </w:tr>
      <w:tr w:rsidR="002C49A7">
        <w:tc>
          <w:tcPr>
            <w:tcW w:w="1322" w:type="dxa"/>
            <w:vMerge/>
          </w:tcPr>
          <w:p w:rsidR="002C49A7" w:rsidRDefault="002C49A7">
            <w:pPr>
              <w:spacing w:after="0" w:line="360" w:lineRule="auto"/>
              <w:jc w:val="both"/>
              <w:rPr>
                <w:rFonts w:ascii="Times New Roman" w:eastAsia="SimSun" w:hAnsi="Times New Roman" w:cs="Times New Roman"/>
                <w:sz w:val="24"/>
                <w:szCs w:val="24"/>
              </w:rPr>
            </w:pPr>
          </w:p>
        </w:tc>
        <w:tc>
          <w:tcPr>
            <w:tcW w:w="192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Late Preterm</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12 (21.4)</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8 (11.3)</w:t>
            </w:r>
          </w:p>
        </w:tc>
        <w:tc>
          <w:tcPr>
            <w:tcW w:w="8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6.4</w:t>
            </w:r>
          </w:p>
        </w:tc>
        <w:tc>
          <w:tcPr>
            <w:tcW w:w="1038"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2.0-20.8</w:t>
            </w:r>
          </w:p>
        </w:tc>
        <w:tc>
          <w:tcPr>
            <w:tcW w:w="180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0.002</w:t>
            </w:r>
          </w:p>
        </w:tc>
      </w:tr>
      <w:tr w:rsidR="002C49A7">
        <w:tc>
          <w:tcPr>
            <w:tcW w:w="1322" w:type="dxa"/>
            <w:vMerge/>
          </w:tcPr>
          <w:p w:rsidR="002C49A7" w:rsidRDefault="002C49A7">
            <w:pPr>
              <w:spacing w:after="0" w:line="360" w:lineRule="auto"/>
              <w:jc w:val="both"/>
              <w:rPr>
                <w:rFonts w:ascii="Times New Roman" w:eastAsia="SimSun" w:hAnsi="Times New Roman" w:cs="Times New Roman"/>
                <w:sz w:val="24"/>
                <w:szCs w:val="24"/>
              </w:rPr>
            </w:pPr>
          </w:p>
        </w:tc>
        <w:tc>
          <w:tcPr>
            <w:tcW w:w="192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Early Term</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19 (33.9)</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25 (35.2)</w:t>
            </w:r>
          </w:p>
        </w:tc>
        <w:tc>
          <w:tcPr>
            <w:tcW w:w="8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3.2</w:t>
            </w:r>
          </w:p>
        </w:tc>
        <w:tc>
          <w:tcPr>
            <w:tcW w:w="1038"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1.2-8.6</w:t>
            </w:r>
          </w:p>
        </w:tc>
        <w:tc>
          <w:tcPr>
            <w:tcW w:w="180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0.018</w:t>
            </w:r>
          </w:p>
        </w:tc>
      </w:tr>
      <w:tr w:rsidR="002C49A7">
        <w:tc>
          <w:tcPr>
            <w:tcW w:w="1322" w:type="dxa"/>
            <w:vMerge/>
          </w:tcPr>
          <w:p w:rsidR="002C49A7" w:rsidRDefault="002C49A7">
            <w:pPr>
              <w:spacing w:after="0" w:line="360" w:lineRule="auto"/>
              <w:jc w:val="both"/>
              <w:rPr>
                <w:rFonts w:ascii="Times New Roman" w:eastAsia="SimSun" w:hAnsi="Times New Roman" w:cs="Times New Roman"/>
                <w:sz w:val="24"/>
                <w:szCs w:val="24"/>
              </w:rPr>
            </w:pPr>
          </w:p>
        </w:tc>
        <w:tc>
          <w:tcPr>
            <w:tcW w:w="192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Full term</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8 (14.3)</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34 (47.9)</w:t>
            </w:r>
          </w:p>
        </w:tc>
        <w:tc>
          <w:tcPr>
            <w:tcW w:w="8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1038" w:type="dxa"/>
          </w:tcPr>
          <w:p w:rsidR="002C49A7" w:rsidRDefault="002C49A7">
            <w:pPr>
              <w:spacing w:after="0" w:line="360" w:lineRule="auto"/>
              <w:jc w:val="both"/>
              <w:rPr>
                <w:rFonts w:ascii="Times New Roman" w:eastAsia="SimSun" w:hAnsi="Times New Roman" w:cs="Times New Roman"/>
                <w:sz w:val="24"/>
                <w:szCs w:val="24"/>
              </w:rPr>
            </w:pPr>
          </w:p>
        </w:tc>
        <w:tc>
          <w:tcPr>
            <w:tcW w:w="1804" w:type="dxa"/>
          </w:tcPr>
          <w:p w:rsidR="002C49A7" w:rsidRDefault="002C49A7">
            <w:pPr>
              <w:spacing w:after="0" w:line="360" w:lineRule="auto"/>
              <w:jc w:val="both"/>
              <w:rPr>
                <w:rFonts w:ascii="Times New Roman" w:eastAsia="SimSun" w:hAnsi="Times New Roman" w:cs="Times New Roman"/>
                <w:sz w:val="24"/>
                <w:szCs w:val="24"/>
              </w:rPr>
            </w:pPr>
          </w:p>
        </w:tc>
      </w:tr>
      <w:tr w:rsidR="002C49A7">
        <w:tc>
          <w:tcPr>
            <w:tcW w:w="1322"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ANC Visit</w:t>
            </w:r>
          </w:p>
        </w:tc>
        <w:tc>
          <w:tcPr>
            <w:tcW w:w="192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No visit</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(5.4)</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 (1.4)</w:t>
            </w:r>
          </w:p>
        </w:tc>
        <w:tc>
          <w:tcPr>
            <w:tcW w:w="8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9.9</w:t>
            </w:r>
          </w:p>
        </w:tc>
        <w:tc>
          <w:tcPr>
            <w:tcW w:w="1038"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0.9-110.4</w:t>
            </w:r>
          </w:p>
        </w:tc>
        <w:tc>
          <w:tcPr>
            <w:tcW w:w="180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0.063</w:t>
            </w:r>
          </w:p>
        </w:tc>
      </w:tr>
      <w:tr w:rsidR="002C49A7">
        <w:tc>
          <w:tcPr>
            <w:tcW w:w="1322" w:type="dxa"/>
            <w:vMerge/>
          </w:tcPr>
          <w:p w:rsidR="002C49A7" w:rsidRDefault="002C49A7">
            <w:pPr>
              <w:spacing w:after="0" w:line="360" w:lineRule="auto"/>
              <w:jc w:val="both"/>
              <w:rPr>
                <w:rFonts w:ascii="Times New Roman" w:eastAsia="SimSun" w:hAnsi="Times New Roman" w:cs="Times New Roman"/>
                <w:sz w:val="24"/>
                <w:szCs w:val="24"/>
              </w:rPr>
            </w:pPr>
          </w:p>
        </w:tc>
        <w:tc>
          <w:tcPr>
            <w:tcW w:w="192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High risk</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46 (82.1)</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47 (66.2)</w:t>
            </w:r>
          </w:p>
        </w:tc>
        <w:tc>
          <w:tcPr>
            <w:tcW w:w="8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3.2</w:t>
            </w:r>
          </w:p>
        </w:tc>
        <w:tc>
          <w:tcPr>
            <w:tcW w:w="1038"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1.3-8.2</w:t>
            </w:r>
          </w:p>
        </w:tc>
        <w:tc>
          <w:tcPr>
            <w:tcW w:w="1804"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0.015</w:t>
            </w:r>
          </w:p>
        </w:tc>
      </w:tr>
      <w:tr w:rsidR="002C49A7">
        <w:tc>
          <w:tcPr>
            <w:tcW w:w="1322" w:type="dxa"/>
            <w:vMerge/>
          </w:tcPr>
          <w:p w:rsidR="002C49A7" w:rsidRDefault="002C49A7">
            <w:pPr>
              <w:spacing w:after="0" w:line="360" w:lineRule="auto"/>
              <w:jc w:val="both"/>
              <w:rPr>
                <w:rFonts w:ascii="Times New Roman" w:eastAsia="SimSun" w:hAnsi="Times New Roman" w:cs="Times New Roman"/>
                <w:sz w:val="24"/>
                <w:szCs w:val="24"/>
              </w:rPr>
            </w:pPr>
          </w:p>
        </w:tc>
        <w:tc>
          <w:tcPr>
            <w:tcW w:w="1929"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Regular follow up</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7 (12.5)</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23 (32.4)</w:t>
            </w:r>
          </w:p>
        </w:tc>
        <w:tc>
          <w:tcPr>
            <w:tcW w:w="88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1038" w:type="dxa"/>
          </w:tcPr>
          <w:p w:rsidR="002C49A7" w:rsidRDefault="002C49A7">
            <w:pPr>
              <w:spacing w:after="0" w:line="360" w:lineRule="auto"/>
              <w:jc w:val="both"/>
              <w:rPr>
                <w:rFonts w:ascii="Times New Roman" w:eastAsia="SimSun" w:hAnsi="Times New Roman" w:cs="Times New Roman"/>
                <w:sz w:val="24"/>
                <w:szCs w:val="24"/>
              </w:rPr>
            </w:pPr>
          </w:p>
        </w:tc>
        <w:tc>
          <w:tcPr>
            <w:tcW w:w="1804" w:type="dxa"/>
          </w:tcPr>
          <w:p w:rsidR="002C49A7" w:rsidRDefault="002C49A7">
            <w:pPr>
              <w:spacing w:after="0" w:line="360" w:lineRule="auto"/>
              <w:jc w:val="both"/>
              <w:rPr>
                <w:rFonts w:ascii="Times New Roman" w:eastAsia="SimSun" w:hAnsi="Times New Roman" w:cs="Times New Roman"/>
                <w:sz w:val="24"/>
                <w:szCs w:val="24"/>
              </w:rPr>
            </w:pPr>
          </w:p>
        </w:tc>
      </w:tr>
    </w:tbl>
    <w:p w:rsidR="002C49A7" w:rsidRDefault="002C49A7">
      <w:pPr>
        <w:spacing w:line="360" w:lineRule="auto"/>
        <w:jc w:val="both"/>
        <w:rPr>
          <w:rFonts w:ascii="Times New Roman" w:hAnsi="Times New Roman" w:cs="Times New Roman"/>
          <w:sz w:val="24"/>
          <w:szCs w:val="24"/>
        </w:rPr>
        <w:sectPr w:rsidR="002C49A7">
          <w:type w:val="continuous"/>
          <w:pgSz w:w="12240" w:h="15840"/>
          <w:pgMar w:top="1440" w:right="1080" w:bottom="1440" w:left="1080" w:header="720" w:footer="720" w:gutter="0"/>
          <w:cols w:space="425"/>
          <w:docGrid w:linePitch="360"/>
        </w:sectPr>
      </w:pPr>
    </w:p>
    <w:p w:rsidR="002C49A7" w:rsidRDefault="002C49A7">
      <w:pPr>
        <w:spacing w:line="360" w:lineRule="auto"/>
        <w:jc w:val="both"/>
        <w:rPr>
          <w:rFonts w:ascii="Times New Roman" w:hAnsi="Times New Roman" w:cs="Times New Roman"/>
          <w:sz w:val="24"/>
          <w:szCs w:val="24"/>
        </w:rPr>
      </w:pPr>
    </w:p>
    <w:p w:rsidR="002C49A7" w:rsidRDefault="002C49A7">
      <w:pPr>
        <w:spacing w:line="360" w:lineRule="auto"/>
        <w:jc w:val="both"/>
        <w:rPr>
          <w:rFonts w:ascii="Times New Roman" w:hAnsi="Times New Roman" w:cs="Times New Roman"/>
          <w:b/>
          <w:bCs/>
          <w:sz w:val="24"/>
          <w:szCs w:val="24"/>
        </w:rPr>
        <w:sectPr w:rsidR="002C49A7">
          <w:type w:val="continuous"/>
          <w:pgSz w:w="12240" w:h="15840"/>
          <w:pgMar w:top="1440" w:right="1080" w:bottom="1440" w:left="1080" w:header="720" w:footer="720" w:gutter="0"/>
          <w:cols w:space="425"/>
          <w:docGrid w:linePitch="360"/>
        </w:sectPr>
      </w:pPr>
    </w:p>
    <w:p w:rsidR="002C49A7" w:rsidRDefault="0024736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Multivariate analysis</w:t>
      </w:r>
    </w:p>
    <w:p w:rsidR="002C49A7" w:rsidRDefault="00247361">
      <w:pPr>
        <w:spacing w:line="360" w:lineRule="auto"/>
        <w:jc w:val="both"/>
        <w:rPr>
          <w:rFonts w:ascii="Times New Roman" w:hAnsi="Times New Roman" w:cs="Times New Roman"/>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r>
        <w:rPr>
          <w:rFonts w:ascii="Times New Roman" w:hAnsi="Times New Roman" w:cs="Times New Roman"/>
          <w:sz w:val="24"/>
          <w:szCs w:val="24"/>
        </w:rPr>
        <w:t xml:space="preserve">Using multivariate analysis early preterm (AOR 45.9, 95% CI: 7.6-275.9), late preterm (AOR 7.2, 95% CI: 2.1-24.9), early term (AOR 4.0, 95% CI: </w:t>
      </w:r>
      <w:r>
        <w:rPr>
          <w:rFonts w:ascii="Times New Roman" w:hAnsi="Times New Roman" w:cs="Times New Roman"/>
          <w:sz w:val="24"/>
          <w:szCs w:val="24"/>
        </w:rPr>
        <w:lastRenderedPageBreak/>
        <w:t>1.4-11.3) and high risk ANC follow up (AOR 4.5, 95% CI: 1.5-14.0) are independent factors associated with superimposed preeclampsia (Table 6 below)</w:t>
      </w:r>
    </w:p>
    <w:p w:rsidR="002C49A7" w:rsidRDefault="002C49A7">
      <w:pPr>
        <w:pStyle w:val="Caption"/>
        <w:spacing w:line="360" w:lineRule="auto"/>
        <w:jc w:val="both"/>
        <w:rPr>
          <w:rFonts w:ascii="Times New Roman" w:hAnsi="Times New Roman" w:cs="Times New Roman"/>
          <w:sz w:val="24"/>
          <w:szCs w:val="24"/>
        </w:rPr>
      </w:pPr>
    </w:p>
    <w:p w:rsidR="002C49A7" w:rsidRDefault="002C49A7">
      <w:pPr>
        <w:rPr>
          <w:rFonts w:ascii="Times New Roman" w:hAnsi="Times New Roman" w:cs="Times New Roman"/>
          <w:sz w:val="24"/>
          <w:szCs w:val="24"/>
        </w:rPr>
      </w:pPr>
    </w:p>
    <w:p w:rsidR="002C49A7" w:rsidRDefault="002C49A7">
      <w:pPr>
        <w:rPr>
          <w:rFonts w:ascii="Times New Roman" w:hAnsi="Times New Roman" w:cs="Times New Roman"/>
          <w:sz w:val="24"/>
          <w:szCs w:val="24"/>
        </w:rPr>
      </w:pPr>
    </w:p>
    <w:p w:rsidR="002C49A7" w:rsidRDefault="002C49A7">
      <w:pPr>
        <w:rPr>
          <w:rFonts w:ascii="Times New Roman" w:hAnsi="Times New Roman" w:cs="Times New Roman"/>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p>
    <w:p w:rsidR="002C49A7" w:rsidRDefault="00247361">
      <w:pPr>
        <w:pStyle w:val="Caption"/>
        <w:shd w:val="clear" w:color="auto" w:fill="FFFFFF" w:themeFill="background1"/>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 \* ARABIC </w:instrText>
      </w:r>
      <w:r>
        <w:rPr>
          <w:rFonts w:ascii="Times New Roman" w:hAnsi="Times New Roman" w:cs="Times New Roman"/>
          <w:sz w:val="24"/>
          <w:szCs w:val="24"/>
        </w:rPr>
        <w:fldChar w:fldCharType="separate"/>
      </w:r>
      <w:r w:rsidR="00854F81">
        <w:rPr>
          <w:rFonts w:ascii="Times New Roman" w:hAnsi="Times New Roman" w:cs="Times New Roman"/>
          <w:noProof/>
          <w:sz w:val="24"/>
          <w:szCs w:val="24"/>
        </w:rPr>
        <w:t>6</w:t>
      </w:r>
      <w:r>
        <w:rPr>
          <w:rFonts w:ascii="Times New Roman" w:hAnsi="Times New Roman" w:cs="Times New Roman"/>
          <w:sz w:val="24"/>
          <w:szCs w:val="24"/>
        </w:rPr>
        <w:fldChar w:fldCharType="end"/>
      </w:r>
      <w:r>
        <w:rPr>
          <w:rFonts w:ascii="Times New Roman" w:hAnsi="Times New Roman" w:cs="Times New Roman"/>
          <w:sz w:val="24"/>
          <w:szCs w:val="24"/>
        </w:rPr>
        <w:t>: Multivariate analysis indicating factors associated with superimposed preeclampsia, SPHMMC, Addis Ababa, 2020</w:t>
      </w:r>
    </w:p>
    <w:tbl>
      <w:tblPr>
        <w:tblStyle w:val="TableGrid"/>
        <w:tblW w:w="10036" w:type="dxa"/>
        <w:tblInd w:w="153" w:type="dxa"/>
        <w:tblLayout w:type="fixed"/>
        <w:tblLook w:val="04A0" w:firstRow="1" w:lastRow="0" w:firstColumn="1" w:lastColumn="0" w:noHBand="0" w:noVBand="1"/>
      </w:tblPr>
      <w:tblGrid>
        <w:gridCol w:w="1175"/>
        <w:gridCol w:w="1582"/>
        <w:gridCol w:w="1787"/>
        <w:gridCol w:w="1561"/>
        <w:gridCol w:w="890"/>
        <w:gridCol w:w="1100"/>
        <w:gridCol w:w="1941"/>
      </w:tblGrid>
      <w:tr w:rsidR="002C49A7">
        <w:tc>
          <w:tcPr>
            <w:tcW w:w="1175" w:type="dxa"/>
            <w:shd w:val="clear" w:color="auto" w:fill="CFCDCD" w:themeFill="background2" w:themeFillShade="E5"/>
          </w:tcPr>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Factor</w:t>
            </w:r>
          </w:p>
        </w:tc>
        <w:tc>
          <w:tcPr>
            <w:tcW w:w="1582" w:type="dxa"/>
            <w:shd w:val="clear" w:color="auto" w:fill="CFCDCD" w:themeFill="background2" w:themeFillShade="E5"/>
          </w:tcPr>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Category</w:t>
            </w:r>
          </w:p>
        </w:tc>
        <w:tc>
          <w:tcPr>
            <w:tcW w:w="1787" w:type="dxa"/>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SIP (n=56)</w:t>
            </w:r>
          </w:p>
          <w:p w:rsidR="002C49A7" w:rsidRDefault="00247361">
            <w:pPr>
              <w:spacing w:after="0" w:line="360" w:lineRule="auto"/>
              <w:jc w:val="both"/>
              <w:rPr>
                <w:rFonts w:ascii="Times New Roman" w:eastAsia="SimSun" w:hAnsi="Times New Roman" w:cs="Times New Roman"/>
                <w:b/>
                <w:bCs/>
                <w:sz w:val="24"/>
                <w:szCs w:val="24"/>
              </w:rPr>
            </w:pPr>
            <w:proofErr w:type="gramStart"/>
            <w:r>
              <w:rPr>
                <w:rFonts w:ascii="Times New Roman" w:eastAsia="SimSun" w:hAnsi="Times New Roman" w:cs="Times New Roman"/>
                <w:b/>
                <w:sz w:val="24"/>
                <w:szCs w:val="24"/>
              </w:rPr>
              <w:t>n</w:t>
            </w:r>
            <w:proofErr w:type="gramEnd"/>
            <w:r>
              <w:rPr>
                <w:rFonts w:ascii="Times New Roman" w:eastAsia="SimSun" w:hAnsi="Times New Roman" w:cs="Times New Roman"/>
                <w:b/>
                <w:sz w:val="24"/>
                <w:szCs w:val="24"/>
              </w:rPr>
              <w:t xml:space="preserve"> (%)</w:t>
            </w:r>
          </w:p>
        </w:tc>
        <w:tc>
          <w:tcPr>
            <w:tcW w:w="1561" w:type="dxa"/>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No SIP (n=71)</w:t>
            </w:r>
          </w:p>
          <w:p w:rsidR="002C49A7" w:rsidRDefault="00247361">
            <w:pPr>
              <w:spacing w:after="0" w:line="360" w:lineRule="auto"/>
              <w:jc w:val="both"/>
              <w:rPr>
                <w:rFonts w:ascii="Times New Roman" w:eastAsia="SimSun" w:hAnsi="Times New Roman" w:cs="Times New Roman"/>
                <w:b/>
                <w:bCs/>
                <w:sz w:val="24"/>
                <w:szCs w:val="24"/>
              </w:rPr>
            </w:pPr>
            <w:proofErr w:type="gramStart"/>
            <w:r>
              <w:rPr>
                <w:rFonts w:ascii="Times New Roman" w:eastAsia="SimSun" w:hAnsi="Times New Roman" w:cs="Times New Roman"/>
                <w:b/>
                <w:sz w:val="24"/>
                <w:szCs w:val="24"/>
              </w:rPr>
              <w:t>n</w:t>
            </w:r>
            <w:proofErr w:type="gramEnd"/>
            <w:r>
              <w:rPr>
                <w:rFonts w:ascii="Times New Roman" w:eastAsia="SimSun" w:hAnsi="Times New Roman" w:cs="Times New Roman"/>
                <w:b/>
                <w:sz w:val="24"/>
                <w:szCs w:val="24"/>
              </w:rPr>
              <w:t xml:space="preserve"> (%)</w:t>
            </w:r>
          </w:p>
        </w:tc>
        <w:tc>
          <w:tcPr>
            <w:tcW w:w="890" w:type="dxa"/>
            <w:shd w:val="clear" w:color="auto" w:fill="CFCDCD" w:themeFill="background2" w:themeFillShade="E5"/>
          </w:tcPr>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AOR</w:t>
            </w:r>
          </w:p>
        </w:tc>
        <w:tc>
          <w:tcPr>
            <w:tcW w:w="1100" w:type="dxa"/>
            <w:shd w:val="clear" w:color="auto" w:fill="CFCDCD" w:themeFill="background2" w:themeFillShade="E5"/>
          </w:tcPr>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95% CI</w:t>
            </w:r>
          </w:p>
        </w:tc>
        <w:tc>
          <w:tcPr>
            <w:tcW w:w="1941" w:type="dxa"/>
            <w:shd w:val="clear" w:color="auto" w:fill="CFCDCD" w:themeFill="background2" w:themeFillShade="E5"/>
          </w:tcPr>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P value</w:t>
            </w:r>
          </w:p>
        </w:tc>
      </w:tr>
      <w:tr w:rsidR="002C49A7">
        <w:tc>
          <w:tcPr>
            <w:tcW w:w="1175"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GA by Week</w:t>
            </w:r>
          </w:p>
        </w:tc>
        <w:tc>
          <w:tcPr>
            <w:tcW w:w="158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w:t>
            </w:r>
            <w:r>
              <w:rPr>
                <w:rFonts w:ascii="Times New Roman" w:eastAsia="SimSun" w:hAnsi="Times New Roman" w:cs="Times New Roman"/>
                <w:sz w:val="24"/>
                <w:szCs w:val="24"/>
                <w:vertAlign w:val="superscript"/>
              </w:rPr>
              <w:t>nd</w:t>
            </w:r>
            <w:r>
              <w:rPr>
                <w:rFonts w:ascii="Times New Roman" w:eastAsia="SimSun" w:hAnsi="Times New Roman" w:cs="Times New Roman"/>
                <w:sz w:val="24"/>
                <w:szCs w:val="24"/>
              </w:rPr>
              <w:t xml:space="preserve"> Trimester</w:t>
            </w:r>
          </w:p>
        </w:tc>
        <w:tc>
          <w:tcPr>
            <w:tcW w:w="178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(5.4)</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 (2.8)</w:t>
            </w:r>
          </w:p>
        </w:tc>
        <w:tc>
          <w:tcPr>
            <w:tcW w:w="89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6.6</w:t>
            </w:r>
          </w:p>
        </w:tc>
        <w:tc>
          <w:tcPr>
            <w:tcW w:w="110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0.6-72.6</w:t>
            </w:r>
          </w:p>
        </w:tc>
        <w:tc>
          <w:tcPr>
            <w:tcW w:w="194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0.13</w:t>
            </w:r>
          </w:p>
        </w:tc>
      </w:tr>
      <w:tr w:rsidR="002C49A7">
        <w:tc>
          <w:tcPr>
            <w:tcW w:w="1175" w:type="dxa"/>
            <w:vMerge/>
          </w:tcPr>
          <w:p w:rsidR="002C49A7" w:rsidRDefault="002C49A7">
            <w:pPr>
              <w:spacing w:after="0" w:line="360" w:lineRule="auto"/>
              <w:jc w:val="both"/>
              <w:rPr>
                <w:rFonts w:ascii="Times New Roman" w:eastAsia="SimSun" w:hAnsi="Times New Roman" w:cs="Times New Roman"/>
                <w:sz w:val="24"/>
                <w:szCs w:val="24"/>
              </w:rPr>
            </w:pPr>
          </w:p>
        </w:tc>
        <w:tc>
          <w:tcPr>
            <w:tcW w:w="158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Early Preterm</w:t>
            </w:r>
          </w:p>
        </w:tc>
        <w:tc>
          <w:tcPr>
            <w:tcW w:w="178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14 (25.0)</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 (2.8)</w:t>
            </w:r>
          </w:p>
        </w:tc>
        <w:tc>
          <w:tcPr>
            <w:tcW w:w="89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45.9</w:t>
            </w:r>
          </w:p>
        </w:tc>
        <w:tc>
          <w:tcPr>
            <w:tcW w:w="110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7.6-275.9</w:t>
            </w:r>
          </w:p>
        </w:tc>
        <w:tc>
          <w:tcPr>
            <w:tcW w:w="1941" w:type="dxa"/>
          </w:tcPr>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sz w:val="24"/>
                <w:szCs w:val="24"/>
              </w:rPr>
              <w:t>0.001</w:t>
            </w:r>
          </w:p>
        </w:tc>
      </w:tr>
      <w:tr w:rsidR="002C49A7">
        <w:tc>
          <w:tcPr>
            <w:tcW w:w="1175" w:type="dxa"/>
            <w:vMerge/>
          </w:tcPr>
          <w:p w:rsidR="002C49A7" w:rsidRDefault="002C49A7">
            <w:pPr>
              <w:spacing w:after="0" w:line="360" w:lineRule="auto"/>
              <w:jc w:val="both"/>
              <w:rPr>
                <w:rFonts w:ascii="Times New Roman" w:eastAsia="SimSun" w:hAnsi="Times New Roman" w:cs="Times New Roman"/>
                <w:sz w:val="24"/>
                <w:szCs w:val="24"/>
              </w:rPr>
            </w:pPr>
          </w:p>
        </w:tc>
        <w:tc>
          <w:tcPr>
            <w:tcW w:w="158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Late Preterm</w:t>
            </w:r>
          </w:p>
        </w:tc>
        <w:tc>
          <w:tcPr>
            <w:tcW w:w="178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12 (21.4)</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8 (11.3)</w:t>
            </w:r>
          </w:p>
        </w:tc>
        <w:tc>
          <w:tcPr>
            <w:tcW w:w="89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7.2</w:t>
            </w:r>
          </w:p>
        </w:tc>
        <w:tc>
          <w:tcPr>
            <w:tcW w:w="110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2.1-24.9</w:t>
            </w:r>
          </w:p>
        </w:tc>
        <w:tc>
          <w:tcPr>
            <w:tcW w:w="1941" w:type="dxa"/>
          </w:tcPr>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sz w:val="24"/>
                <w:szCs w:val="24"/>
              </w:rPr>
              <w:t>0.002</w:t>
            </w:r>
          </w:p>
        </w:tc>
      </w:tr>
      <w:tr w:rsidR="002C49A7">
        <w:tc>
          <w:tcPr>
            <w:tcW w:w="1175" w:type="dxa"/>
            <w:vMerge/>
          </w:tcPr>
          <w:p w:rsidR="002C49A7" w:rsidRDefault="002C49A7">
            <w:pPr>
              <w:spacing w:after="0" w:line="360" w:lineRule="auto"/>
              <w:jc w:val="both"/>
              <w:rPr>
                <w:rFonts w:ascii="Times New Roman" w:eastAsia="SimSun" w:hAnsi="Times New Roman" w:cs="Times New Roman"/>
                <w:sz w:val="24"/>
                <w:szCs w:val="24"/>
              </w:rPr>
            </w:pPr>
          </w:p>
        </w:tc>
        <w:tc>
          <w:tcPr>
            <w:tcW w:w="158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Early Term</w:t>
            </w:r>
          </w:p>
        </w:tc>
        <w:tc>
          <w:tcPr>
            <w:tcW w:w="178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19 (33.9)</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25 (35.2)</w:t>
            </w:r>
          </w:p>
        </w:tc>
        <w:tc>
          <w:tcPr>
            <w:tcW w:w="89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4.0</w:t>
            </w:r>
          </w:p>
        </w:tc>
        <w:tc>
          <w:tcPr>
            <w:tcW w:w="110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1.4-11.3</w:t>
            </w:r>
          </w:p>
        </w:tc>
        <w:tc>
          <w:tcPr>
            <w:tcW w:w="1941" w:type="dxa"/>
          </w:tcPr>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sz w:val="24"/>
                <w:szCs w:val="24"/>
              </w:rPr>
              <w:t>0.009</w:t>
            </w:r>
          </w:p>
        </w:tc>
      </w:tr>
      <w:tr w:rsidR="002C49A7">
        <w:tc>
          <w:tcPr>
            <w:tcW w:w="1175" w:type="dxa"/>
            <w:vMerge/>
          </w:tcPr>
          <w:p w:rsidR="002C49A7" w:rsidRDefault="002C49A7">
            <w:pPr>
              <w:spacing w:after="0" w:line="360" w:lineRule="auto"/>
              <w:jc w:val="both"/>
              <w:rPr>
                <w:rFonts w:ascii="Times New Roman" w:eastAsia="SimSun" w:hAnsi="Times New Roman" w:cs="Times New Roman"/>
                <w:sz w:val="24"/>
                <w:szCs w:val="24"/>
              </w:rPr>
            </w:pPr>
          </w:p>
        </w:tc>
        <w:tc>
          <w:tcPr>
            <w:tcW w:w="158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Full term</w:t>
            </w:r>
          </w:p>
        </w:tc>
        <w:tc>
          <w:tcPr>
            <w:tcW w:w="178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8 (14.3)</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34 (47.9)</w:t>
            </w:r>
          </w:p>
        </w:tc>
        <w:tc>
          <w:tcPr>
            <w:tcW w:w="89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1100" w:type="dxa"/>
          </w:tcPr>
          <w:p w:rsidR="002C49A7" w:rsidRDefault="002C49A7">
            <w:pPr>
              <w:spacing w:after="0" w:line="360" w:lineRule="auto"/>
              <w:jc w:val="both"/>
              <w:rPr>
                <w:rFonts w:ascii="Times New Roman" w:eastAsia="SimSun" w:hAnsi="Times New Roman" w:cs="Times New Roman"/>
                <w:sz w:val="24"/>
                <w:szCs w:val="24"/>
              </w:rPr>
            </w:pPr>
          </w:p>
        </w:tc>
        <w:tc>
          <w:tcPr>
            <w:tcW w:w="1941" w:type="dxa"/>
          </w:tcPr>
          <w:p w:rsidR="002C49A7" w:rsidRDefault="002C49A7">
            <w:pPr>
              <w:spacing w:after="0" w:line="360" w:lineRule="auto"/>
              <w:jc w:val="both"/>
              <w:rPr>
                <w:rFonts w:ascii="Times New Roman" w:eastAsia="SimSun" w:hAnsi="Times New Roman" w:cs="Times New Roman"/>
                <w:b/>
                <w:bCs/>
                <w:sz w:val="24"/>
                <w:szCs w:val="24"/>
              </w:rPr>
            </w:pPr>
          </w:p>
        </w:tc>
      </w:tr>
      <w:tr w:rsidR="002C49A7">
        <w:tc>
          <w:tcPr>
            <w:tcW w:w="1175"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ANC Visit</w:t>
            </w:r>
          </w:p>
        </w:tc>
        <w:tc>
          <w:tcPr>
            <w:tcW w:w="158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High risk</w:t>
            </w:r>
          </w:p>
        </w:tc>
        <w:tc>
          <w:tcPr>
            <w:tcW w:w="178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46 (82.1)</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47 (66.2)</w:t>
            </w:r>
          </w:p>
        </w:tc>
        <w:tc>
          <w:tcPr>
            <w:tcW w:w="89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4.5</w:t>
            </w:r>
          </w:p>
        </w:tc>
        <w:tc>
          <w:tcPr>
            <w:tcW w:w="110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1.5-14.0</w:t>
            </w:r>
          </w:p>
        </w:tc>
        <w:tc>
          <w:tcPr>
            <w:tcW w:w="1941" w:type="dxa"/>
          </w:tcPr>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sz w:val="24"/>
                <w:szCs w:val="24"/>
              </w:rPr>
              <w:t>0.009</w:t>
            </w:r>
          </w:p>
        </w:tc>
      </w:tr>
      <w:tr w:rsidR="002C49A7">
        <w:tc>
          <w:tcPr>
            <w:tcW w:w="1175" w:type="dxa"/>
            <w:vMerge/>
          </w:tcPr>
          <w:p w:rsidR="002C49A7" w:rsidRDefault="002C49A7">
            <w:pPr>
              <w:spacing w:after="0" w:line="360" w:lineRule="auto"/>
              <w:jc w:val="both"/>
              <w:rPr>
                <w:rFonts w:ascii="Times New Roman" w:eastAsia="SimSun" w:hAnsi="Times New Roman" w:cs="Times New Roman"/>
                <w:sz w:val="24"/>
                <w:szCs w:val="24"/>
              </w:rPr>
            </w:pPr>
          </w:p>
        </w:tc>
        <w:tc>
          <w:tcPr>
            <w:tcW w:w="1582"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Regular follow up</w:t>
            </w:r>
          </w:p>
        </w:tc>
        <w:tc>
          <w:tcPr>
            <w:tcW w:w="1787"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7 (12.5)</w:t>
            </w:r>
          </w:p>
        </w:tc>
        <w:tc>
          <w:tcPr>
            <w:tcW w:w="1561"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23 (32.4)</w:t>
            </w:r>
          </w:p>
        </w:tc>
        <w:tc>
          <w:tcPr>
            <w:tcW w:w="890"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1100" w:type="dxa"/>
          </w:tcPr>
          <w:p w:rsidR="002C49A7" w:rsidRDefault="002C49A7">
            <w:pPr>
              <w:spacing w:after="0" w:line="360" w:lineRule="auto"/>
              <w:jc w:val="both"/>
              <w:rPr>
                <w:rFonts w:ascii="Times New Roman" w:eastAsia="SimSun" w:hAnsi="Times New Roman" w:cs="Times New Roman"/>
                <w:sz w:val="24"/>
                <w:szCs w:val="24"/>
              </w:rPr>
            </w:pPr>
          </w:p>
        </w:tc>
        <w:tc>
          <w:tcPr>
            <w:tcW w:w="1941" w:type="dxa"/>
          </w:tcPr>
          <w:p w:rsidR="002C49A7" w:rsidRDefault="002C49A7">
            <w:pPr>
              <w:spacing w:after="0" w:line="360" w:lineRule="auto"/>
              <w:jc w:val="both"/>
              <w:rPr>
                <w:rFonts w:ascii="Times New Roman" w:eastAsia="SimSun" w:hAnsi="Times New Roman" w:cs="Times New Roman"/>
                <w:sz w:val="24"/>
                <w:szCs w:val="24"/>
              </w:rPr>
            </w:pPr>
          </w:p>
        </w:tc>
      </w:tr>
    </w:tbl>
    <w:p w:rsidR="002C49A7" w:rsidRDefault="002C49A7">
      <w:pPr>
        <w:pStyle w:val="Heading2"/>
        <w:spacing w:line="360" w:lineRule="auto"/>
        <w:jc w:val="both"/>
        <w:rPr>
          <w:rFonts w:ascii="Times New Roman" w:hAnsi="Times New Roman" w:cs="Times New Roman"/>
          <w:sz w:val="24"/>
          <w:szCs w:val="24"/>
        </w:rPr>
        <w:sectPr w:rsidR="002C49A7">
          <w:type w:val="continuous"/>
          <w:pgSz w:w="12240" w:h="15840"/>
          <w:pgMar w:top="1440" w:right="1080" w:bottom="1440" w:left="1080" w:header="720" w:footer="720" w:gutter="0"/>
          <w:cols w:space="425"/>
          <w:docGrid w:linePitch="360"/>
        </w:sectPr>
      </w:pPr>
    </w:p>
    <w:p w:rsidR="002C49A7" w:rsidRDefault="00247361">
      <w:pPr>
        <w:pStyle w:val="Heading2"/>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Comparison of Neonatal Outcome </w:t>
      </w:r>
      <w:proofErr w:type="gramStart"/>
      <w:r>
        <w:rPr>
          <w:rFonts w:ascii="Times New Roman" w:hAnsi="Times New Roman" w:cs="Times New Roman"/>
          <w:sz w:val="24"/>
          <w:szCs w:val="24"/>
        </w:rPr>
        <w:t>Among</w:t>
      </w:r>
      <w:proofErr w:type="gramEnd"/>
      <w:r>
        <w:rPr>
          <w:rFonts w:ascii="Times New Roman" w:hAnsi="Times New Roman" w:cs="Times New Roman"/>
          <w:sz w:val="24"/>
          <w:szCs w:val="24"/>
        </w:rPr>
        <w:t xml:space="preserve"> Women with Superimposed Preeclampsia and those without Superimposed Preeclampsia</w:t>
      </w:r>
    </w:p>
    <w:p w:rsidR="002C49A7" w:rsidRDefault="00247361">
      <w:pPr>
        <w:spacing w:line="360" w:lineRule="auto"/>
        <w:jc w:val="both"/>
        <w:rPr>
          <w:rFonts w:ascii="Times New Roman" w:hAnsi="Times New Roman" w:cs="Times New Roman"/>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r>
        <w:rPr>
          <w:rFonts w:ascii="Times New Roman" w:hAnsi="Times New Roman" w:cs="Times New Roman"/>
          <w:sz w:val="24"/>
          <w:szCs w:val="24"/>
        </w:rPr>
        <w:t xml:space="preserve">Among the four still births recorded three of them (75%) were among those with superimposed preeclampsia whereas 1 (25%) was reported </w:t>
      </w:r>
      <w:r>
        <w:rPr>
          <w:rFonts w:ascii="Times New Roman" w:hAnsi="Times New Roman" w:cs="Times New Roman"/>
          <w:sz w:val="24"/>
          <w:szCs w:val="24"/>
        </w:rPr>
        <w:lastRenderedPageBreak/>
        <w:t>among those with chronic hypertension. Among alive neonates (118), 68 (57.6%) were born from women with chronic hypertension, whereas 50 (42.4%) were born of women with chronic hypertension with superimposed preeclampsia (See table 7 belo</w:t>
      </w:r>
      <w:bookmarkStart w:id="18" w:name="_Toc46707085"/>
      <w:r>
        <w:rPr>
          <w:rFonts w:ascii="Times New Roman" w:hAnsi="Times New Roman" w:cs="Times New Roman"/>
          <w:sz w:val="24"/>
          <w:szCs w:val="24"/>
        </w:rPr>
        <w:t>w)</w:t>
      </w: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pPr>
    </w:p>
    <w:p w:rsidR="002C49A7" w:rsidRDefault="002C49A7">
      <w:pPr>
        <w:spacing w:line="360" w:lineRule="auto"/>
        <w:rPr>
          <w:rFonts w:ascii="Times New Roman" w:hAnsi="Times New Roman" w:cs="Times New Roman"/>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p>
    <w:p w:rsidR="002C49A7" w:rsidRDefault="00247361">
      <w:pPr>
        <w:pStyle w:val="Caption"/>
        <w:keepNext/>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 \* ARABIC </w:instrText>
      </w:r>
      <w:r>
        <w:rPr>
          <w:rFonts w:ascii="Times New Roman" w:hAnsi="Times New Roman" w:cs="Times New Roman"/>
          <w:sz w:val="24"/>
          <w:szCs w:val="24"/>
        </w:rPr>
        <w:fldChar w:fldCharType="separate"/>
      </w:r>
      <w:r w:rsidR="00854F81">
        <w:rPr>
          <w:rFonts w:ascii="Times New Roman" w:hAnsi="Times New Roman" w:cs="Times New Roman"/>
          <w:noProof/>
          <w:sz w:val="24"/>
          <w:szCs w:val="24"/>
        </w:rPr>
        <w:t>7</w:t>
      </w:r>
      <w:r>
        <w:rPr>
          <w:rFonts w:ascii="Times New Roman" w:hAnsi="Times New Roman" w:cs="Times New Roman"/>
          <w:sz w:val="24"/>
          <w:szCs w:val="24"/>
        </w:rPr>
        <w:fldChar w:fldCharType="end"/>
      </w:r>
      <w:r>
        <w:rPr>
          <w:rFonts w:ascii="Times New Roman" w:hAnsi="Times New Roman" w:cs="Times New Roman"/>
          <w:sz w:val="24"/>
          <w:szCs w:val="24"/>
        </w:rPr>
        <w:t>: Comparison of neonatal outcome factors among mothers with chronic hypertension with and without superimposed preeclampsia at SPHMMC, Addis Ababa, Ethiopia, 2020</w:t>
      </w:r>
      <w:bookmarkEnd w:id="18"/>
    </w:p>
    <w:tbl>
      <w:tblPr>
        <w:tblStyle w:val="TableGrid"/>
        <w:tblW w:w="10020" w:type="dxa"/>
        <w:tblInd w:w="123" w:type="dxa"/>
        <w:tblLayout w:type="fixed"/>
        <w:tblLook w:val="04A0" w:firstRow="1" w:lastRow="0" w:firstColumn="1" w:lastColumn="0" w:noHBand="0" w:noVBand="1"/>
      </w:tblPr>
      <w:tblGrid>
        <w:gridCol w:w="945"/>
        <w:gridCol w:w="1185"/>
        <w:gridCol w:w="1035"/>
        <w:gridCol w:w="1275"/>
        <w:gridCol w:w="960"/>
        <w:gridCol w:w="1200"/>
        <w:gridCol w:w="780"/>
        <w:gridCol w:w="780"/>
        <w:gridCol w:w="1162"/>
        <w:gridCol w:w="698"/>
      </w:tblGrid>
      <w:tr w:rsidR="002C49A7">
        <w:tc>
          <w:tcPr>
            <w:tcW w:w="945" w:type="dxa"/>
            <w:vMerge w:val="restart"/>
            <w:shd w:val="clear" w:color="auto" w:fill="CFCDCD" w:themeFill="background2" w:themeFillShade="E5"/>
          </w:tcPr>
          <w:p w:rsidR="002C49A7" w:rsidRDefault="002C49A7">
            <w:pPr>
              <w:spacing w:after="0" w:line="360" w:lineRule="auto"/>
              <w:jc w:val="both"/>
              <w:rPr>
                <w:rFonts w:ascii="Times New Roman" w:eastAsia="SimSun" w:hAnsi="Times New Roman" w:cs="Times New Roman"/>
                <w:b/>
                <w:sz w:val="24"/>
                <w:szCs w:val="24"/>
              </w:rPr>
            </w:pPr>
          </w:p>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Factor</w:t>
            </w:r>
          </w:p>
        </w:tc>
        <w:tc>
          <w:tcPr>
            <w:tcW w:w="1185" w:type="dxa"/>
            <w:vMerge w:val="restart"/>
            <w:shd w:val="clear" w:color="auto" w:fill="CFCDCD" w:themeFill="background2" w:themeFillShade="E5"/>
          </w:tcPr>
          <w:p w:rsidR="002C49A7" w:rsidRDefault="002C49A7">
            <w:pPr>
              <w:spacing w:after="0" w:line="360" w:lineRule="auto"/>
              <w:jc w:val="both"/>
              <w:rPr>
                <w:rFonts w:ascii="Times New Roman" w:eastAsia="SimSun" w:hAnsi="Times New Roman" w:cs="Times New Roman"/>
                <w:b/>
                <w:sz w:val="24"/>
                <w:szCs w:val="24"/>
              </w:rPr>
            </w:pPr>
          </w:p>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Category</w:t>
            </w:r>
          </w:p>
        </w:tc>
        <w:tc>
          <w:tcPr>
            <w:tcW w:w="1035" w:type="dxa"/>
            <w:vMerge w:val="restart"/>
            <w:shd w:val="clear" w:color="auto" w:fill="CFCDCD" w:themeFill="background2" w:themeFillShade="E5"/>
          </w:tcPr>
          <w:p w:rsidR="002C49A7" w:rsidRDefault="002C49A7">
            <w:pPr>
              <w:spacing w:after="0" w:line="360" w:lineRule="auto"/>
              <w:jc w:val="both"/>
              <w:rPr>
                <w:rFonts w:ascii="Times New Roman" w:eastAsia="SimSun" w:hAnsi="Times New Roman" w:cs="Times New Roman"/>
                <w:b/>
                <w:sz w:val="24"/>
                <w:szCs w:val="24"/>
              </w:rPr>
            </w:pPr>
          </w:p>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SIP (n=56)</w:t>
            </w:r>
          </w:p>
          <w:p w:rsidR="002C49A7" w:rsidRDefault="00247361">
            <w:pPr>
              <w:spacing w:after="0" w:line="360" w:lineRule="auto"/>
              <w:jc w:val="both"/>
              <w:rPr>
                <w:rFonts w:ascii="Times New Roman" w:eastAsia="SimSun" w:hAnsi="Times New Roman" w:cs="Times New Roman"/>
                <w:b/>
                <w:sz w:val="24"/>
                <w:szCs w:val="24"/>
              </w:rPr>
            </w:pPr>
            <w:proofErr w:type="gramStart"/>
            <w:r>
              <w:rPr>
                <w:rFonts w:ascii="Times New Roman" w:eastAsia="SimSun" w:hAnsi="Times New Roman" w:cs="Times New Roman"/>
                <w:b/>
                <w:sz w:val="24"/>
                <w:szCs w:val="24"/>
              </w:rPr>
              <w:t>n</w:t>
            </w:r>
            <w:proofErr w:type="gramEnd"/>
            <w:r>
              <w:rPr>
                <w:rFonts w:ascii="Times New Roman" w:eastAsia="SimSun" w:hAnsi="Times New Roman" w:cs="Times New Roman"/>
                <w:b/>
                <w:sz w:val="24"/>
                <w:szCs w:val="24"/>
              </w:rPr>
              <w:t xml:space="preserve"> (%)</w:t>
            </w:r>
          </w:p>
        </w:tc>
        <w:tc>
          <w:tcPr>
            <w:tcW w:w="1275" w:type="dxa"/>
            <w:vMerge w:val="restart"/>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No SIP(n=71)</w:t>
            </w:r>
          </w:p>
          <w:p w:rsidR="002C49A7" w:rsidRDefault="00247361">
            <w:pPr>
              <w:spacing w:after="0" w:line="360" w:lineRule="auto"/>
              <w:jc w:val="both"/>
              <w:rPr>
                <w:rFonts w:ascii="Times New Roman" w:eastAsia="SimSun" w:hAnsi="Times New Roman" w:cs="Times New Roman"/>
                <w:b/>
                <w:sz w:val="24"/>
                <w:szCs w:val="24"/>
              </w:rPr>
            </w:pPr>
            <w:proofErr w:type="gramStart"/>
            <w:r>
              <w:rPr>
                <w:rFonts w:ascii="Times New Roman" w:eastAsia="SimSun" w:hAnsi="Times New Roman" w:cs="Times New Roman"/>
                <w:b/>
                <w:sz w:val="24"/>
                <w:szCs w:val="24"/>
              </w:rPr>
              <w:t>n</w:t>
            </w:r>
            <w:proofErr w:type="gramEnd"/>
            <w:r>
              <w:rPr>
                <w:rFonts w:ascii="Times New Roman" w:eastAsia="SimSun" w:hAnsi="Times New Roman" w:cs="Times New Roman"/>
                <w:b/>
                <w:sz w:val="24"/>
                <w:szCs w:val="24"/>
              </w:rPr>
              <w:t xml:space="preserve"> (%)</w:t>
            </w:r>
          </w:p>
        </w:tc>
        <w:tc>
          <w:tcPr>
            <w:tcW w:w="2940" w:type="dxa"/>
            <w:gridSpan w:val="3"/>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Bivariate analysis</w:t>
            </w:r>
          </w:p>
        </w:tc>
        <w:tc>
          <w:tcPr>
            <w:tcW w:w="2640" w:type="dxa"/>
            <w:gridSpan w:val="3"/>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Multivariate analysis</w:t>
            </w:r>
          </w:p>
        </w:tc>
      </w:tr>
      <w:tr w:rsidR="002C49A7">
        <w:tc>
          <w:tcPr>
            <w:tcW w:w="945" w:type="dxa"/>
            <w:vMerge/>
            <w:shd w:val="clear" w:color="auto" w:fill="CFCDCD" w:themeFill="background2" w:themeFillShade="E5"/>
          </w:tcPr>
          <w:p w:rsidR="002C49A7" w:rsidRDefault="002C49A7">
            <w:pPr>
              <w:spacing w:after="0" w:line="360" w:lineRule="auto"/>
              <w:jc w:val="both"/>
              <w:rPr>
                <w:rFonts w:ascii="Times New Roman" w:eastAsia="SimSun" w:hAnsi="Times New Roman" w:cs="Times New Roman"/>
                <w:b/>
                <w:sz w:val="24"/>
                <w:szCs w:val="24"/>
              </w:rPr>
            </w:pPr>
          </w:p>
        </w:tc>
        <w:tc>
          <w:tcPr>
            <w:tcW w:w="1185" w:type="dxa"/>
            <w:vMerge/>
            <w:shd w:val="clear" w:color="auto" w:fill="CFCDCD" w:themeFill="background2" w:themeFillShade="E5"/>
          </w:tcPr>
          <w:p w:rsidR="002C49A7" w:rsidRDefault="002C49A7">
            <w:pPr>
              <w:spacing w:after="0" w:line="360" w:lineRule="auto"/>
              <w:jc w:val="both"/>
              <w:rPr>
                <w:rFonts w:ascii="Times New Roman" w:eastAsia="SimSun" w:hAnsi="Times New Roman" w:cs="Times New Roman"/>
                <w:b/>
                <w:sz w:val="24"/>
                <w:szCs w:val="24"/>
              </w:rPr>
            </w:pPr>
          </w:p>
        </w:tc>
        <w:tc>
          <w:tcPr>
            <w:tcW w:w="1035" w:type="dxa"/>
            <w:vMerge/>
            <w:shd w:val="clear" w:color="auto" w:fill="CFCDCD" w:themeFill="background2" w:themeFillShade="E5"/>
          </w:tcPr>
          <w:p w:rsidR="002C49A7" w:rsidRDefault="002C49A7">
            <w:pPr>
              <w:spacing w:after="0" w:line="360" w:lineRule="auto"/>
              <w:jc w:val="both"/>
              <w:rPr>
                <w:rFonts w:ascii="Times New Roman" w:eastAsia="SimSun" w:hAnsi="Times New Roman" w:cs="Times New Roman"/>
                <w:b/>
                <w:sz w:val="24"/>
                <w:szCs w:val="24"/>
              </w:rPr>
            </w:pPr>
          </w:p>
        </w:tc>
        <w:tc>
          <w:tcPr>
            <w:tcW w:w="1275" w:type="dxa"/>
            <w:vMerge/>
            <w:shd w:val="clear" w:color="auto" w:fill="CFCDCD" w:themeFill="background2" w:themeFillShade="E5"/>
          </w:tcPr>
          <w:p w:rsidR="002C49A7" w:rsidRDefault="002C49A7">
            <w:pPr>
              <w:spacing w:after="0" w:line="360" w:lineRule="auto"/>
              <w:jc w:val="both"/>
              <w:rPr>
                <w:rFonts w:ascii="Times New Roman" w:eastAsia="SimSun" w:hAnsi="Times New Roman" w:cs="Times New Roman"/>
                <w:b/>
                <w:sz w:val="24"/>
                <w:szCs w:val="24"/>
              </w:rPr>
            </w:pPr>
          </w:p>
        </w:tc>
        <w:tc>
          <w:tcPr>
            <w:tcW w:w="960" w:type="dxa"/>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COR</w:t>
            </w:r>
          </w:p>
        </w:tc>
        <w:tc>
          <w:tcPr>
            <w:tcW w:w="1200" w:type="dxa"/>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95%CI</w:t>
            </w:r>
          </w:p>
        </w:tc>
        <w:tc>
          <w:tcPr>
            <w:tcW w:w="780" w:type="dxa"/>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P Value</w:t>
            </w:r>
          </w:p>
        </w:tc>
        <w:tc>
          <w:tcPr>
            <w:tcW w:w="780" w:type="dxa"/>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AOR</w:t>
            </w:r>
          </w:p>
        </w:tc>
        <w:tc>
          <w:tcPr>
            <w:tcW w:w="1162" w:type="dxa"/>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95%CI</w:t>
            </w:r>
          </w:p>
        </w:tc>
        <w:tc>
          <w:tcPr>
            <w:tcW w:w="698" w:type="dxa"/>
            <w:shd w:val="clear" w:color="auto" w:fill="CFCDCD" w:themeFill="background2" w:themeFillShade="E5"/>
          </w:tcPr>
          <w:p w:rsidR="002C49A7" w:rsidRDefault="00247361">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P Value</w:t>
            </w:r>
          </w:p>
        </w:tc>
      </w:tr>
      <w:tr w:rsidR="002C49A7">
        <w:trPr>
          <w:trHeight w:val="190"/>
        </w:trPr>
        <w:tc>
          <w:tcPr>
            <w:tcW w:w="945"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New born</w:t>
            </w:r>
          </w:p>
        </w:tc>
        <w:tc>
          <w:tcPr>
            <w:tcW w:w="118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Still birth</w:t>
            </w:r>
          </w:p>
        </w:tc>
        <w:tc>
          <w:tcPr>
            <w:tcW w:w="103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(5.4)</w:t>
            </w:r>
          </w:p>
        </w:tc>
        <w:tc>
          <w:tcPr>
            <w:tcW w:w="127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 (1.4)</w:t>
            </w:r>
          </w:p>
        </w:tc>
        <w:tc>
          <w:tcPr>
            <w:tcW w:w="960"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4.1</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1200"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0.4-40.4</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0.3-12.7</w:t>
            </w:r>
          </w:p>
        </w:tc>
        <w:tc>
          <w:tcPr>
            <w:tcW w:w="780"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0.2</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0.4</w:t>
            </w:r>
          </w:p>
        </w:tc>
        <w:tc>
          <w:tcPr>
            <w:tcW w:w="780" w:type="dxa"/>
            <w:vMerge w:val="restart"/>
          </w:tcPr>
          <w:p w:rsidR="002C49A7" w:rsidRDefault="002C49A7">
            <w:pPr>
              <w:spacing w:after="0" w:line="360" w:lineRule="auto"/>
              <w:jc w:val="both"/>
              <w:rPr>
                <w:rFonts w:ascii="Times New Roman" w:eastAsia="SimSun" w:hAnsi="Times New Roman" w:cs="Times New Roman"/>
                <w:sz w:val="24"/>
                <w:szCs w:val="24"/>
              </w:rPr>
            </w:pPr>
          </w:p>
        </w:tc>
        <w:tc>
          <w:tcPr>
            <w:tcW w:w="1162" w:type="dxa"/>
            <w:vMerge w:val="restart"/>
          </w:tcPr>
          <w:p w:rsidR="002C49A7" w:rsidRDefault="002C49A7">
            <w:pPr>
              <w:spacing w:after="0" w:line="360" w:lineRule="auto"/>
              <w:jc w:val="both"/>
              <w:rPr>
                <w:rFonts w:ascii="Times New Roman" w:eastAsia="SimSun" w:hAnsi="Times New Roman" w:cs="Times New Roman"/>
                <w:sz w:val="24"/>
                <w:szCs w:val="24"/>
              </w:rPr>
            </w:pPr>
          </w:p>
        </w:tc>
        <w:tc>
          <w:tcPr>
            <w:tcW w:w="698" w:type="dxa"/>
            <w:vMerge w:val="restart"/>
          </w:tcPr>
          <w:p w:rsidR="002C49A7" w:rsidRDefault="002C49A7">
            <w:pPr>
              <w:spacing w:after="0" w:line="360" w:lineRule="auto"/>
              <w:jc w:val="both"/>
              <w:rPr>
                <w:rFonts w:ascii="Times New Roman" w:eastAsia="SimSun" w:hAnsi="Times New Roman" w:cs="Times New Roman"/>
                <w:sz w:val="24"/>
                <w:szCs w:val="24"/>
              </w:rPr>
            </w:pPr>
          </w:p>
        </w:tc>
      </w:tr>
      <w:tr w:rsidR="002C49A7">
        <w:trPr>
          <w:trHeight w:val="135"/>
        </w:trPr>
        <w:tc>
          <w:tcPr>
            <w:tcW w:w="945" w:type="dxa"/>
            <w:vMerge/>
          </w:tcPr>
          <w:p w:rsidR="002C49A7" w:rsidRDefault="002C49A7">
            <w:pPr>
              <w:spacing w:after="0" w:line="360" w:lineRule="auto"/>
              <w:jc w:val="both"/>
              <w:rPr>
                <w:rFonts w:ascii="Times New Roman" w:eastAsia="SimSun" w:hAnsi="Times New Roman" w:cs="Times New Roman"/>
                <w:sz w:val="24"/>
                <w:szCs w:val="24"/>
              </w:rPr>
            </w:pPr>
          </w:p>
        </w:tc>
        <w:tc>
          <w:tcPr>
            <w:tcW w:w="118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Abortion</w:t>
            </w:r>
          </w:p>
        </w:tc>
        <w:tc>
          <w:tcPr>
            <w:tcW w:w="103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(5.4)</w:t>
            </w:r>
          </w:p>
        </w:tc>
        <w:tc>
          <w:tcPr>
            <w:tcW w:w="127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 (2.8)</w:t>
            </w:r>
          </w:p>
        </w:tc>
        <w:tc>
          <w:tcPr>
            <w:tcW w:w="960" w:type="dxa"/>
            <w:vMerge/>
          </w:tcPr>
          <w:p w:rsidR="002C49A7" w:rsidRDefault="002C49A7">
            <w:pPr>
              <w:spacing w:after="0" w:line="360" w:lineRule="auto"/>
              <w:jc w:val="both"/>
              <w:rPr>
                <w:rFonts w:ascii="Times New Roman" w:eastAsia="SimSun" w:hAnsi="Times New Roman" w:cs="Times New Roman"/>
                <w:sz w:val="24"/>
                <w:szCs w:val="24"/>
              </w:rPr>
            </w:pPr>
          </w:p>
        </w:tc>
        <w:tc>
          <w:tcPr>
            <w:tcW w:w="120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1162" w:type="dxa"/>
            <w:vMerge/>
          </w:tcPr>
          <w:p w:rsidR="002C49A7" w:rsidRDefault="002C49A7">
            <w:pPr>
              <w:spacing w:after="0" w:line="360" w:lineRule="auto"/>
              <w:jc w:val="both"/>
              <w:rPr>
                <w:rFonts w:ascii="Times New Roman" w:eastAsia="SimSun" w:hAnsi="Times New Roman" w:cs="Times New Roman"/>
                <w:sz w:val="24"/>
                <w:szCs w:val="24"/>
              </w:rPr>
            </w:pPr>
          </w:p>
        </w:tc>
        <w:tc>
          <w:tcPr>
            <w:tcW w:w="698" w:type="dxa"/>
            <w:vMerge/>
          </w:tcPr>
          <w:p w:rsidR="002C49A7" w:rsidRDefault="002C49A7">
            <w:pPr>
              <w:spacing w:after="0" w:line="360" w:lineRule="auto"/>
              <w:jc w:val="both"/>
              <w:rPr>
                <w:rFonts w:ascii="Times New Roman" w:eastAsia="SimSun" w:hAnsi="Times New Roman" w:cs="Times New Roman"/>
                <w:sz w:val="24"/>
                <w:szCs w:val="24"/>
              </w:rPr>
            </w:pPr>
          </w:p>
        </w:tc>
      </w:tr>
      <w:tr w:rsidR="002C49A7">
        <w:trPr>
          <w:trHeight w:val="135"/>
        </w:trPr>
        <w:tc>
          <w:tcPr>
            <w:tcW w:w="945" w:type="dxa"/>
            <w:vMerge/>
          </w:tcPr>
          <w:p w:rsidR="002C49A7" w:rsidRDefault="002C49A7">
            <w:pPr>
              <w:spacing w:after="0" w:line="360" w:lineRule="auto"/>
              <w:jc w:val="both"/>
              <w:rPr>
                <w:rFonts w:ascii="Times New Roman" w:eastAsia="SimSun" w:hAnsi="Times New Roman" w:cs="Times New Roman"/>
                <w:sz w:val="24"/>
                <w:szCs w:val="24"/>
              </w:rPr>
            </w:pPr>
          </w:p>
        </w:tc>
        <w:tc>
          <w:tcPr>
            <w:tcW w:w="118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Alive</w:t>
            </w:r>
          </w:p>
        </w:tc>
        <w:tc>
          <w:tcPr>
            <w:tcW w:w="103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50 (89.3)</w:t>
            </w:r>
          </w:p>
        </w:tc>
        <w:tc>
          <w:tcPr>
            <w:tcW w:w="127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68 (95.8)</w:t>
            </w:r>
          </w:p>
        </w:tc>
        <w:tc>
          <w:tcPr>
            <w:tcW w:w="960" w:type="dxa"/>
            <w:vMerge/>
          </w:tcPr>
          <w:p w:rsidR="002C49A7" w:rsidRDefault="002C49A7">
            <w:pPr>
              <w:spacing w:after="0" w:line="360" w:lineRule="auto"/>
              <w:jc w:val="both"/>
              <w:rPr>
                <w:rFonts w:ascii="Times New Roman" w:eastAsia="SimSun" w:hAnsi="Times New Roman" w:cs="Times New Roman"/>
                <w:sz w:val="24"/>
                <w:szCs w:val="24"/>
              </w:rPr>
            </w:pPr>
          </w:p>
        </w:tc>
        <w:tc>
          <w:tcPr>
            <w:tcW w:w="120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1162" w:type="dxa"/>
            <w:vMerge/>
          </w:tcPr>
          <w:p w:rsidR="002C49A7" w:rsidRDefault="002C49A7">
            <w:pPr>
              <w:spacing w:after="0" w:line="360" w:lineRule="auto"/>
              <w:jc w:val="both"/>
              <w:rPr>
                <w:rFonts w:ascii="Times New Roman" w:eastAsia="SimSun" w:hAnsi="Times New Roman" w:cs="Times New Roman"/>
                <w:sz w:val="24"/>
                <w:szCs w:val="24"/>
              </w:rPr>
            </w:pPr>
          </w:p>
        </w:tc>
        <w:tc>
          <w:tcPr>
            <w:tcW w:w="698" w:type="dxa"/>
            <w:vMerge/>
          </w:tcPr>
          <w:p w:rsidR="002C49A7" w:rsidRDefault="002C49A7">
            <w:pPr>
              <w:spacing w:after="0" w:line="360" w:lineRule="auto"/>
              <w:jc w:val="both"/>
              <w:rPr>
                <w:rFonts w:ascii="Times New Roman" w:eastAsia="SimSun" w:hAnsi="Times New Roman" w:cs="Times New Roman"/>
                <w:sz w:val="24"/>
                <w:szCs w:val="24"/>
              </w:rPr>
            </w:pPr>
          </w:p>
        </w:tc>
      </w:tr>
      <w:tr w:rsidR="002C49A7">
        <w:trPr>
          <w:trHeight w:val="120"/>
        </w:trPr>
        <w:tc>
          <w:tcPr>
            <w:tcW w:w="945"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w:t>
            </w:r>
            <w:r>
              <w:rPr>
                <w:rFonts w:ascii="Times New Roman" w:eastAsia="SimSun" w:hAnsi="Times New Roman" w:cs="Times New Roman"/>
                <w:sz w:val="24"/>
                <w:szCs w:val="24"/>
                <w:vertAlign w:val="superscript"/>
              </w:rPr>
              <w:t>th</w:t>
            </w:r>
            <w:r>
              <w:rPr>
                <w:rFonts w:ascii="Times New Roman" w:eastAsia="SimSun" w:hAnsi="Times New Roman" w:cs="Times New Roman"/>
                <w:sz w:val="24"/>
                <w:szCs w:val="24"/>
              </w:rPr>
              <w:t xml:space="preserve"> minute APGAR score</w:t>
            </w:r>
          </w:p>
        </w:tc>
        <w:tc>
          <w:tcPr>
            <w:tcW w:w="118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NA</w:t>
            </w:r>
          </w:p>
        </w:tc>
        <w:tc>
          <w:tcPr>
            <w:tcW w:w="103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 (10.7)</w:t>
            </w:r>
          </w:p>
        </w:tc>
        <w:tc>
          <w:tcPr>
            <w:tcW w:w="127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(4.2)</w:t>
            </w:r>
          </w:p>
        </w:tc>
        <w:tc>
          <w:tcPr>
            <w:tcW w:w="960"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4.2</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3.3</w:t>
            </w:r>
          </w:p>
          <w:p w:rsidR="002C49A7" w:rsidRDefault="002C49A7">
            <w:pPr>
              <w:spacing w:after="0" w:line="360" w:lineRule="auto"/>
              <w:jc w:val="both"/>
              <w:rPr>
                <w:rFonts w:ascii="Times New Roman" w:eastAsia="SimSun" w:hAnsi="Times New Roman" w:cs="Times New Roman"/>
                <w:sz w:val="24"/>
                <w:szCs w:val="24"/>
              </w:rPr>
            </w:pPr>
          </w:p>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1200"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0.98-18.4</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1.5-7.3</w:t>
            </w:r>
          </w:p>
        </w:tc>
        <w:tc>
          <w:tcPr>
            <w:tcW w:w="780"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0.053</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0.004</w:t>
            </w:r>
          </w:p>
        </w:tc>
        <w:tc>
          <w:tcPr>
            <w:tcW w:w="780"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tc>
        <w:tc>
          <w:tcPr>
            <w:tcW w:w="1162"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tc>
        <w:tc>
          <w:tcPr>
            <w:tcW w:w="698"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tc>
      </w:tr>
      <w:tr w:rsidR="002C49A7">
        <w:trPr>
          <w:trHeight w:val="120"/>
        </w:trPr>
        <w:tc>
          <w:tcPr>
            <w:tcW w:w="945" w:type="dxa"/>
            <w:vMerge/>
          </w:tcPr>
          <w:p w:rsidR="002C49A7" w:rsidRDefault="002C49A7">
            <w:pPr>
              <w:spacing w:after="0" w:line="360" w:lineRule="auto"/>
              <w:jc w:val="both"/>
              <w:rPr>
                <w:rFonts w:ascii="Times New Roman" w:eastAsia="SimSun" w:hAnsi="Times New Roman" w:cs="Times New Roman"/>
                <w:sz w:val="24"/>
                <w:szCs w:val="24"/>
              </w:rPr>
            </w:pPr>
          </w:p>
        </w:tc>
        <w:tc>
          <w:tcPr>
            <w:tcW w:w="118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&lt; 5</w:t>
            </w:r>
          </w:p>
        </w:tc>
        <w:tc>
          <w:tcPr>
            <w:tcW w:w="103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 (3.6)</w:t>
            </w:r>
          </w:p>
        </w:tc>
        <w:tc>
          <w:tcPr>
            <w:tcW w:w="127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 (0.0)</w:t>
            </w:r>
          </w:p>
        </w:tc>
        <w:tc>
          <w:tcPr>
            <w:tcW w:w="960" w:type="dxa"/>
            <w:vMerge/>
          </w:tcPr>
          <w:p w:rsidR="002C49A7" w:rsidRDefault="002C49A7">
            <w:pPr>
              <w:spacing w:after="0" w:line="360" w:lineRule="auto"/>
              <w:jc w:val="both"/>
              <w:rPr>
                <w:rFonts w:ascii="Times New Roman" w:eastAsia="SimSun" w:hAnsi="Times New Roman" w:cs="Times New Roman"/>
                <w:sz w:val="24"/>
                <w:szCs w:val="24"/>
              </w:rPr>
            </w:pPr>
          </w:p>
        </w:tc>
        <w:tc>
          <w:tcPr>
            <w:tcW w:w="120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1162" w:type="dxa"/>
            <w:vMerge/>
          </w:tcPr>
          <w:p w:rsidR="002C49A7" w:rsidRDefault="002C49A7">
            <w:pPr>
              <w:spacing w:after="0" w:line="360" w:lineRule="auto"/>
              <w:jc w:val="both"/>
              <w:rPr>
                <w:rFonts w:ascii="Times New Roman" w:eastAsia="SimSun" w:hAnsi="Times New Roman" w:cs="Times New Roman"/>
                <w:sz w:val="24"/>
                <w:szCs w:val="24"/>
              </w:rPr>
            </w:pPr>
          </w:p>
        </w:tc>
        <w:tc>
          <w:tcPr>
            <w:tcW w:w="698" w:type="dxa"/>
            <w:vMerge/>
          </w:tcPr>
          <w:p w:rsidR="002C49A7" w:rsidRDefault="002C49A7">
            <w:pPr>
              <w:spacing w:after="0" w:line="360" w:lineRule="auto"/>
              <w:jc w:val="both"/>
              <w:rPr>
                <w:rFonts w:ascii="Times New Roman" w:eastAsia="SimSun" w:hAnsi="Times New Roman" w:cs="Times New Roman"/>
                <w:sz w:val="24"/>
                <w:szCs w:val="24"/>
              </w:rPr>
            </w:pPr>
          </w:p>
        </w:tc>
      </w:tr>
      <w:tr w:rsidR="002C49A7">
        <w:trPr>
          <w:trHeight w:val="120"/>
        </w:trPr>
        <w:tc>
          <w:tcPr>
            <w:tcW w:w="945" w:type="dxa"/>
            <w:vMerge/>
          </w:tcPr>
          <w:p w:rsidR="002C49A7" w:rsidRDefault="002C49A7">
            <w:pPr>
              <w:spacing w:after="0" w:line="360" w:lineRule="auto"/>
              <w:jc w:val="both"/>
              <w:rPr>
                <w:rFonts w:ascii="Times New Roman" w:eastAsia="SimSun" w:hAnsi="Times New Roman" w:cs="Times New Roman"/>
                <w:sz w:val="24"/>
                <w:szCs w:val="24"/>
              </w:rPr>
            </w:pPr>
          </w:p>
        </w:tc>
        <w:tc>
          <w:tcPr>
            <w:tcW w:w="118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5-7</w:t>
            </w:r>
          </w:p>
        </w:tc>
        <w:tc>
          <w:tcPr>
            <w:tcW w:w="103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23 (41.1)</w:t>
            </w:r>
          </w:p>
        </w:tc>
        <w:tc>
          <w:tcPr>
            <w:tcW w:w="127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15 (21.1)</w:t>
            </w:r>
          </w:p>
        </w:tc>
        <w:tc>
          <w:tcPr>
            <w:tcW w:w="960" w:type="dxa"/>
            <w:vMerge/>
          </w:tcPr>
          <w:p w:rsidR="002C49A7" w:rsidRDefault="002C49A7">
            <w:pPr>
              <w:spacing w:after="0" w:line="360" w:lineRule="auto"/>
              <w:jc w:val="both"/>
              <w:rPr>
                <w:rFonts w:ascii="Times New Roman" w:eastAsia="SimSun" w:hAnsi="Times New Roman" w:cs="Times New Roman"/>
                <w:sz w:val="24"/>
                <w:szCs w:val="24"/>
              </w:rPr>
            </w:pPr>
          </w:p>
        </w:tc>
        <w:tc>
          <w:tcPr>
            <w:tcW w:w="120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1162" w:type="dxa"/>
            <w:vMerge/>
          </w:tcPr>
          <w:p w:rsidR="002C49A7" w:rsidRDefault="002C49A7">
            <w:pPr>
              <w:spacing w:after="0" w:line="360" w:lineRule="auto"/>
              <w:jc w:val="both"/>
              <w:rPr>
                <w:rFonts w:ascii="Times New Roman" w:eastAsia="SimSun" w:hAnsi="Times New Roman" w:cs="Times New Roman"/>
                <w:sz w:val="24"/>
                <w:szCs w:val="24"/>
              </w:rPr>
            </w:pPr>
          </w:p>
        </w:tc>
        <w:tc>
          <w:tcPr>
            <w:tcW w:w="698" w:type="dxa"/>
            <w:vMerge/>
          </w:tcPr>
          <w:p w:rsidR="002C49A7" w:rsidRDefault="002C49A7">
            <w:pPr>
              <w:spacing w:after="0" w:line="360" w:lineRule="auto"/>
              <w:jc w:val="both"/>
              <w:rPr>
                <w:rFonts w:ascii="Times New Roman" w:eastAsia="SimSun" w:hAnsi="Times New Roman" w:cs="Times New Roman"/>
                <w:sz w:val="24"/>
                <w:szCs w:val="24"/>
              </w:rPr>
            </w:pPr>
          </w:p>
        </w:tc>
      </w:tr>
      <w:tr w:rsidR="002C49A7">
        <w:trPr>
          <w:trHeight w:val="120"/>
        </w:trPr>
        <w:tc>
          <w:tcPr>
            <w:tcW w:w="945" w:type="dxa"/>
            <w:vMerge/>
          </w:tcPr>
          <w:p w:rsidR="002C49A7" w:rsidRDefault="002C49A7">
            <w:pPr>
              <w:spacing w:after="0" w:line="360" w:lineRule="auto"/>
              <w:jc w:val="both"/>
              <w:rPr>
                <w:rFonts w:ascii="Times New Roman" w:eastAsia="SimSun" w:hAnsi="Times New Roman" w:cs="Times New Roman"/>
                <w:sz w:val="24"/>
                <w:szCs w:val="24"/>
              </w:rPr>
            </w:pPr>
          </w:p>
        </w:tc>
        <w:tc>
          <w:tcPr>
            <w:tcW w:w="118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u w:val="single"/>
              </w:rPr>
              <w:t>&gt;</w:t>
            </w:r>
            <w:r>
              <w:rPr>
                <w:rFonts w:ascii="Times New Roman" w:eastAsia="SimSun" w:hAnsi="Times New Roman" w:cs="Times New Roman"/>
                <w:sz w:val="24"/>
                <w:szCs w:val="24"/>
              </w:rPr>
              <w:t xml:space="preserve"> 7</w:t>
            </w:r>
          </w:p>
        </w:tc>
        <w:tc>
          <w:tcPr>
            <w:tcW w:w="103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25 (44.6)</w:t>
            </w:r>
          </w:p>
        </w:tc>
        <w:tc>
          <w:tcPr>
            <w:tcW w:w="127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53 (74.6)</w:t>
            </w:r>
          </w:p>
        </w:tc>
        <w:tc>
          <w:tcPr>
            <w:tcW w:w="960" w:type="dxa"/>
            <w:vMerge/>
          </w:tcPr>
          <w:p w:rsidR="002C49A7" w:rsidRDefault="002C49A7">
            <w:pPr>
              <w:spacing w:after="0" w:line="360" w:lineRule="auto"/>
              <w:jc w:val="both"/>
              <w:rPr>
                <w:rFonts w:ascii="Times New Roman" w:eastAsia="SimSun" w:hAnsi="Times New Roman" w:cs="Times New Roman"/>
                <w:sz w:val="24"/>
                <w:szCs w:val="24"/>
              </w:rPr>
            </w:pPr>
          </w:p>
        </w:tc>
        <w:tc>
          <w:tcPr>
            <w:tcW w:w="120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1162" w:type="dxa"/>
            <w:vMerge/>
          </w:tcPr>
          <w:p w:rsidR="002C49A7" w:rsidRDefault="002C49A7">
            <w:pPr>
              <w:spacing w:after="0" w:line="360" w:lineRule="auto"/>
              <w:jc w:val="both"/>
              <w:rPr>
                <w:rFonts w:ascii="Times New Roman" w:eastAsia="SimSun" w:hAnsi="Times New Roman" w:cs="Times New Roman"/>
                <w:sz w:val="24"/>
                <w:szCs w:val="24"/>
              </w:rPr>
            </w:pPr>
          </w:p>
        </w:tc>
        <w:tc>
          <w:tcPr>
            <w:tcW w:w="698" w:type="dxa"/>
            <w:vMerge/>
          </w:tcPr>
          <w:p w:rsidR="002C49A7" w:rsidRDefault="002C49A7">
            <w:pPr>
              <w:spacing w:after="0" w:line="360" w:lineRule="auto"/>
              <w:jc w:val="both"/>
              <w:rPr>
                <w:rFonts w:ascii="Times New Roman" w:eastAsia="SimSun" w:hAnsi="Times New Roman" w:cs="Times New Roman"/>
                <w:sz w:val="24"/>
                <w:szCs w:val="24"/>
              </w:rPr>
            </w:pPr>
          </w:p>
        </w:tc>
      </w:tr>
      <w:tr w:rsidR="002C49A7">
        <w:trPr>
          <w:trHeight w:val="467"/>
        </w:trPr>
        <w:tc>
          <w:tcPr>
            <w:tcW w:w="945"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Birth weight</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roofErr w:type="spellStart"/>
            <w:r>
              <w:rPr>
                <w:rFonts w:ascii="Times New Roman" w:eastAsia="SimSun" w:hAnsi="Times New Roman" w:cs="Times New Roman"/>
                <w:sz w:val="24"/>
                <w:szCs w:val="24"/>
              </w:rPr>
              <w:t>gm</w:t>
            </w:r>
            <w:proofErr w:type="spellEnd"/>
            <w:r>
              <w:rPr>
                <w:rFonts w:ascii="Times New Roman" w:eastAsia="SimSun" w:hAnsi="Times New Roman" w:cs="Times New Roman"/>
                <w:sz w:val="24"/>
                <w:szCs w:val="24"/>
              </w:rPr>
              <w:t>)</w:t>
            </w:r>
          </w:p>
        </w:tc>
        <w:tc>
          <w:tcPr>
            <w:tcW w:w="118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&lt; 1000</w:t>
            </w:r>
          </w:p>
        </w:tc>
        <w:tc>
          <w:tcPr>
            <w:tcW w:w="103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(5.4)</w:t>
            </w:r>
          </w:p>
        </w:tc>
        <w:tc>
          <w:tcPr>
            <w:tcW w:w="127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(4.2)</w:t>
            </w:r>
          </w:p>
        </w:tc>
        <w:tc>
          <w:tcPr>
            <w:tcW w:w="960"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2.9</w:t>
            </w:r>
          </w:p>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4.6</w:t>
            </w:r>
          </w:p>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1200"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0.5-15.7</w:t>
            </w:r>
          </w:p>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2.1-10.1</w:t>
            </w:r>
          </w:p>
        </w:tc>
        <w:tc>
          <w:tcPr>
            <w:tcW w:w="780"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0.22</w:t>
            </w:r>
          </w:p>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w:t>
            </w:r>
          </w:p>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sz w:val="24"/>
                <w:szCs w:val="24"/>
              </w:rPr>
              <w:t>0.001</w:t>
            </w:r>
          </w:p>
        </w:tc>
        <w:tc>
          <w:tcPr>
            <w:tcW w:w="780"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3.1</w:t>
            </w:r>
          </w:p>
        </w:tc>
        <w:tc>
          <w:tcPr>
            <w:tcW w:w="1162"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1.2-8.1</w:t>
            </w:r>
          </w:p>
        </w:tc>
        <w:tc>
          <w:tcPr>
            <w:tcW w:w="698" w:type="dxa"/>
            <w:vMerge w:val="restart"/>
          </w:tcPr>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w:t>
            </w:r>
          </w:p>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p>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b/>
                <w:bCs/>
                <w:sz w:val="24"/>
                <w:szCs w:val="24"/>
              </w:rPr>
            </w:pPr>
            <w:r>
              <w:rPr>
                <w:rFonts w:ascii="Times New Roman" w:eastAsia="SimSun" w:hAnsi="Times New Roman" w:cs="Times New Roman"/>
                <w:sz w:val="24"/>
                <w:szCs w:val="24"/>
              </w:rPr>
              <w:t>0.02</w:t>
            </w:r>
          </w:p>
        </w:tc>
      </w:tr>
      <w:tr w:rsidR="002C49A7">
        <w:trPr>
          <w:trHeight w:val="305"/>
        </w:trPr>
        <w:tc>
          <w:tcPr>
            <w:tcW w:w="945" w:type="dxa"/>
            <w:vMerge/>
          </w:tcPr>
          <w:p w:rsidR="002C49A7" w:rsidRDefault="002C49A7">
            <w:pPr>
              <w:spacing w:after="0" w:line="360" w:lineRule="auto"/>
              <w:jc w:val="both"/>
              <w:rPr>
                <w:rFonts w:ascii="Times New Roman" w:eastAsia="SimSun" w:hAnsi="Times New Roman" w:cs="Times New Roman"/>
                <w:sz w:val="24"/>
                <w:szCs w:val="24"/>
              </w:rPr>
            </w:pPr>
          </w:p>
        </w:tc>
        <w:tc>
          <w:tcPr>
            <w:tcW w:w="118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1000-1500</w:t>
            </w:r>
          </w:p>
        </w:tc>
        <w:tc>
          <w:tcPr>
            <w:tcW w:w="103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 (10.7)</w:t>
            </w:r>
          </w:p>
        </w:tc>
        <w:tc>
          <w:tcPr>
            <w:tcW w:w="127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 (0.0)</w:t>
            </w:r>
          </w:p>
        </w:tc>
        <w:tc>
          <w:tcPr>
            <w:tcW w:w="960" w:type="dxa"/>
            <w:vMerge/>
          </w:tcPr>
          <w:p w:rsidR="002C49A7" w:rsidRDefault="002C49A7">
            <w:pPr>
              <w:spacing w:after="0" w:line="360" w:lineRule="auto"/>
              <w:jc w:val="both"/>
              <w:rPr>
                <w:rFonts w:ascii="Times New Roman" w:eastAsia="SimSun" w:hAnsi="Times New Roman" w:cs="Times New Roman"/>
                <w:sz w:val="24"/>
                <w:szCs w:val="24"/>
              </w:rPr>
            </w:pPr>
          </w:p>
        </w:tc>
        <w:tc>
          <w:tcPr>
            <w:tcW w:w="120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1162" w:type="dxa"/>
            <w:vMerge/>
          </w:tcPr>
          <w:p w:rsidR="002C49A7" w:rsidRDefault="002C49A7">
            <w:pPr>
              <w:spacing w:after="0" w:line="360" w:lineRule="auto"/>
              <w:jc w:val="both"/>
              <w:rPr>
                <w:rFonts w:ascii="Times New Roman" w:eastAsia="SimSun" w:hAnsi="Times New Roman" w:cs="Times New Roman"/>
                <w:sz w:val="24"/>
                <w:szCs w:val="24"/>
              </w:rPr>
            </w:pPr>
          </w:p>
        </w:tc>
        <w:tc>
          <w:tcPr>
            <w:tcW w:w="698" w:type="dxa"/>
            <w:vMerge/>
          </w:tcPr>
          <w:p w:rsidR="002C49A7" w:rsidRDefault="002C49A7">
            <w:pPr>
              <w:spacing w:after="0" w:line="360" w:lineRule="auto"/>
              <w:jc w:val="both"/>
              <w:rPr>
                <w:rFonts w:ascii="Times New Roman" w:eastAsia="SimSun" w:hAnsi="Times New Roman" w:cs="Times New Roman"/>
                <w:sz w:val="24"/>
                <w:szCs w:val="24"/>
              </w:rPr>
            </w:pPr>
          </w:p>
        </w:tc>
      </w:tr>
      <w:tr w:rsidR="002C49A7">
        <w:trPr>
          <w:trHeight w:val="512"/>
        </w:trPr>
        <w:tc>
          <w:tcPr>
            <w:tcW w:w="945" w:type="dxa"/>
            <w:vMerge/>
          </w:tcPr>
          <w:p w:rsidR="002C49A7" w:rsidRDefault="002C49A7">
            <w:pPr>
              <w:spacing w:after="0" w:line="360" w:lineRule="auto"/>
              <w:jc w:val="both"/>
              <w:rPr>
                <w:rFonts w:ascii="Times New Roman" w:eastAsia="SimSun" w:hAnsi="Times New Roman" w:cs="Times New Roman"/>
                <w:sz w:val="24"/>
                <w:szCs w:val="24"/>
              </w:rPr>
            </w:pPr>
          </w:p>
        </w:tc>
        <w:tc>
          <w:tcPr>
            <w:tcW w:w="118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1501-2500</w:t>
            </w:r>
          </w:p>
        </w:tc>
        <w:tc>
          <w:tcPr>
            <w:tcW w:w="103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30 (53.6)</w:t>
            </w:r>
          </w:p>
        </w:tc>
        <w:tc>
          <w:tcPr>
            <w:tcW w:w="127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19 (26.8)</w:t>
            </w:r>
          </w:p>
        </w:tc>
        <w:tc>
          <w:tcPr>
            <w:tcW w:w="960" w:type="dxa"/>
            <w:vMerge/>
          </w:tcPr>
          <w:p w:rsidR="002C49A7" w:rsidRDefault="002C49A7">
            <w:pPr>
              <w:spacing w:after="0" w:line="360" w:lineRule="auto"/>
              <w:jc w:val="both"/>
              <w:rPr>
                <w:rFonts w:ascii="Times New Roman" w:eastAsia="SimSun" w:hAnsi="Times New Roman" w:cs="Times New Roman"/>
                <w:sz w:val="24"/>
                <w:szCs w:val="24"/>
              </w:rPr>
            </w:pPr>
          </w:p>
        </w:tc>
        <w:tc>
          <w:tcPr>
            <w:tcW w:w="120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1162" w:type="dxa"/>
            <w:vMerge/>
          </w:tcPr>
          <w:p w:rsidR="002C49A7" w:rsidRDefault="002C49A7">
            <w:pPr>
              <w:spacing w:after="0" w:line="360" w:lineRule="auto"/>
              <w:jc w:val="both"/>
              <w:rPr>
                <w:rFonts w:ascii="Times New Roman" w:eastAsia="SimSun" w:hAnsi="Times New Roman" w:cs="Times New Roman"/>
                <w:sz w:val="24"/>
                <w:szCs w:val="24"/>
              </w:rPr>
            </w:pPr>
          </w:p>
        </w:tc>
        <w:tc>
          <w:tcPr>
            <w:tcW w:w="698" w:type="dxa"/>
            <w:vMerge/>
          </w:tcPr>
          <w:p w:rsidR="002C49A7" w:rsidRDefault="002C49A7">
            <w:pPr>
              <w:spacing w:after="0" w:line="360" w:lineRule="auto"/>
              <w:jc w:val="both"/>
              <w:rPr>
                <w:rFonts w:ascii="Times New Roman" w:eastAsia="SimSun" w:hAnsi="Times New Roman" w:cs="Times New Roman"/>
                <w:sz w:val="24"/>
                <w:szCs w:val="24"/>
              </w:rPr>
            </w:pPr>
          </w:p>
        </w:tc>
      </w:tr>
      <w:tr w:rsidR="002C49A7">
        <w:trPr>
          <w:trHeight w:val="118"/>
        </w:trPr>
        <w:tc>
          <w:tcPr>
            <w:tcW w:w="945" w:type="dxa"/>
            <w:vMerge/>
          </w:tcPr>
          <w:p w:rsidR="002C49A7" w:rsidRDefault="002C49A7">
            <w:pPr>
              <w:spacing w:after="0" w:line="360" w:lineRule="auto"/>
              <w:jc w:val="both"/>
              <w:rPr>
                <w:rFonts w:ascii="Times New Roman" w:eastAsia="SimSun" w:hAnsi="Times New Roman" w:cs="Times New Roman"/>
                <w:sz w:val="24"/>
                <w:szCs w:val="24"/>
              </w:rPr>
            </w:pPr>
          </w:p>
        </w:tc>
        <w:tc>
          <w:tcPr>
            <w:tcW w:w="118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&gt;2500 </w:t>
            </w:r>
          </w:p>
        </w:tc>
        <w:tc>
          <w:tcPr>
            <w:tcW w:w="103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17 (30.4)</w:t>
            </w:r>
          </w:p>
        </w:tc>
        <w:tc>
          <w:tcPr>
            <w:tcW w:w="127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49 (69.0)</w:t>
            </w:r>
          </w:p>
        </w:tc>
        <w:tc>
          <w:tcPr>
            <w:tcW w:w="960" w:type="dxa"/>
            <w:vMerge/>
          </w:tcPr>
          <w:p w:rsidR="002C49A7" w:rsidRDefault="002C49A7">
            <w:pPr>
              <w:spacing w:after="0" w:line="360" w:lineRule="auto"/>
              <w:jc w:val="both"/>
              <w:rPr>
                <w:rFonts w:ascii="Times New Roman" w:eastAsia="SimSun" w:hAnsi="Times New Roman" w:cs="Times New Roman"/>
                <w:sz w:val="24"/>
                <w:szCs w:val="24"/>
              </w:rPr>
            </w:pPr>
          </w:p>
        </w:tc>
        <w:tc>
          <w:tcPr>
            <w:tcW w:w="120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1162" w:type="dxa"/>
            <w:vMerge/>
          </w:tcPr>
          <w:p w:rsidR="002C49A7" w:rsidRDefault="002C49A7">
            <w:pPr>
              <w:spacing w:after="0" w:line="360" w:lineRule="auto"/>
              <w:jc w:val="both"/>
              <w:rPr>
                <w:rFonts w:ascii="Times New Roman" w:eastAsia="SimSun" w:hAnsi="Times New Roman" w:cs="Times New Roman"/>
                <w:sz w:val="24"/>
                <w:szCs w:val="24"/>
              </w:rPr>
            </w:pPr>
          </w:p>
        </w:tc>
        <w:tc>
          <w:tcPr>
            <w:tcW w:w="698" w:type="dxa"/>
            <w:vMerge/>
          </w:tcPr>
          <w:p w:rsidR="002C49A7" w:rsidRDefault="002C49A7">
            <w:pPr>
              <w:spacing w:after="0" w:line="360" w:lineRule="auto"/>
              <w:jc w:val="both"/>
              <w:rPr>
                <w:rFonts w:ascii="Times New Roman" w:eastAsia="SimSun" w:hAnsi="Times New Roman" w:cs="Times New Roman"/>
                <w:sz w:val="24"/>
                <w:szCs w:val="24"/>
              </w:rPr>
            </w:pPr>
          </w:p>
        </w:tc>
      </w:tr>
      <w:tr w:rsidR="002C49A7">
        <w:trPr>
          <w:trHeight w:val="215"/>
        </w:trPr>
        <w:tc>
          <w:tcPr>
            <w:tcW w:w="945"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Need for NICU Admission</w:t>
            </w:r>
          </w:p>
        </w:tc>
        <w:tc>
          <w:tcPr>
            <w:tcW w:w="118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NA</w:t>
            </w:r>
          </w:p>
        </w:tc>
        <w:tc>
          <w:tcPr>
            <w:tcW w:w="103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 (10.7)</w:t>
            </w:r>
          </w:p>
        </w:tc>
        <w:tc>
          <w:tcPr>
            <w:tcW w:w="127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(4.2)</w:t>
            </w:r>
          </w:p>
        </w:tc>
        <w:tc>
          <w:tcPr>
            <w:tcW w:w="960"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4.2</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13.3</w:t>
            </w:r>
          </w:p>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1200"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0.98-17.9</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3.7-48.3</w:t>
            </w:r>
          </w:p>
        </w:tc>
        <w:tc>
          <w:tcPr>
            <w:tcW w:w="780" w:type="dxa"/>
            <w:vMerge w:val="restart"/>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0.053</w:t>
            </w: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0.001</w:t>
            </w:r>
          </w:p>
        </w:tc>
        <w:tc>
          <w:tcPr>
            <w:tcW w:w="780" w:type="dxa"/>
            <w:vMerge w:val="restart"/>
          </w:tcPr>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8.5</w:t>
            </w:r>
          </w:p>
        </w:tc>
        <w:tc>
          <w:tcPr>
            <w:tcW w:w="1162" w:type="dxa"/>
            <w:vMerge w:val="restart"/>
          </w:tcPr>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1.7-42.9</w:t>
            </w:r>
          </w:p>
        </w:tc>
        <w:tc>
          <w:tcPr>
            <w:tcW w:w="698" w:type="dxa"/>
            <w:vMerge w:val="restart"/>
          </w:tcPr>
          <w:p w:rsidR="002C49A7" w:rsidRDefault="002C49A7">
            <w:pPr>
              <w:spacing w:after="0" w:line="360" w:lineRule="auto"/>
              <w:jc w:val="both"/>
              <w:rPr>
                <w:rFonts w:ascii="Times New Roman" w:eastAsia="SimSun" w:hAnsi="Times New Roman" w:cs="Times New Roman"/>
                <w:sz w:val="24"/>
                <w:szCs w:val="24"/>
              </w:rPr>
            </w:pPr>
          </w:p>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0.009</w:t>
            </w:r>
          </w:p>
        </w:tc>
      </w:tr>
      <w:tr w:rsidR="002C49A7">
        <w:trPr>
          <w:trHeight w:val="215"/>
        </w:trPr>
        <w:tc>
          <w:tcPr>
            <w:tcW w:w="945" w:type="dxa"/>
            <w:vMerge/>
          </w:tcPr>
          <w:p w:rsidR="002C49A7" w:rsidRDefault="002C49A7">
            <w:pPr>
              <w:spacing w:after="0" w:line="360" w:lineRule="auto"/>
              <w:jc w:val="both"/>
              <w:rPr>
                <w:rFonts w:ascii="Times New Roman" w:eastAsia="SimSun" w:hAnsi="Times New Roman" w:cs="Times New Roman"/>
                <w:sz w:val="24"/>
                <w:szCs w:val="24"/>
              </w:rPr>
            </w:pPr>
          </w:p>
        </w:tc>
        <w:tc>
          <w:tcPr>
            <w:tcW w:w="118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Yes</w:t>
            </w:r>
          </w:p>
        </w:tc>
        <w:tc>
          <w:tcPr>
            <w:tcW w:w="103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19 (33.9)</w:t>
            </w:r>
          </w:p>
        </w:tc>
        <w:tc>
          <w:tcPr>
            <w:tcW w:w="127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 (4.2)</w:t>
            </w:r>
          </w:p>
        </w:tc>
        <w:tc>
          <w:tcPr>
            <w:tcW w:w="960" w:type="dxa"/>
            <w:vMerge/>
          </w:tcPr>
          <w:p w:rsidR="002C49A7" w:rsidRDefault="002C49A7">
            <w:pPr>
              <w:spacing w:after="0" w:line="360" w:lineRule="auto"/>
              <w:jc w:val="both"/>
              <w:rPr>
                <w:rFonts w:ascii="Times New Roman" w:eastAsia="SimSun" w:hAnsi="Times New Roman" w:cs="Times New Roman"/>
                <w:sz w:val="24"/>
                <w:szCs w:val="24"/>
              </w:rPr>
            </w:pPr>
          </w:p>
        </w:tc>
        <w:tc>
          <w:tcPr>
            <w:tcW w:w="120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b/>
                <w:bCs/>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1162" w:type="dxa"/>
            <w:vMerge/>
          </w:tcPr>
          <w:p w:rsidR="002C49A7" w:rsidRDefault="002C49A7">
            <w:pPr>
              <w:spacing w:after="0" w:line="360" w:lineRule="auto"/>
              <w:jc w:val="both"/>
              <w:rPr>
                <w:rFonts w:ascii="Times New Roman" w:eastAsia="SimSun" w:hAnsi="Times New Roman" w:cs="Times New Roman"/>
                <w:sz w:val="24"/>
                <w:szCs w:val="24"/>
              </w:rPr>
            </w:pPr>
          </w:p>
        </w:tc>
        <w:tc>
          <w:tcPr>
            <w:tcW w:w="698" w:type="dxa"/>
            <w:vMerge/>
          </w:tcPr>
          <w:p w:rsidR="002C49A7" w:rsidRDefault="002C49A7">
            <w:pPr>
              <w:spacing w:after="0" w:line="360" w:lineRule="auto"/>
              <w:jc w:val="both"/>
              <w:rPr>
                <w:rFonts w:ascii="Times New Roman" w:eastAsia="SimSun" w:hAnsi="Times New Roman" w:cs="Times New Roman"/>
                <w:b/>
                <w:bCs/>
                <w:sz w:val="24"/>
                <w:szCs w:val="24"/>
              </w:rPr>
            </w:pPr>
          </w:p>
        </w:tc>
      </w:tr>
      <w:tr w:rsidR="002C49A7">
        <w:trPr>
          <w:trHeight w:val="575"/>
        </w:trPr>
        <w:tc>
          <w:tcPr>
            <w:tcW w:w="945" w:type="dxa"/>
            <w:vMerge/>
          </w:tcPr>
          <w:p w:rsidR="002C49A7" w:rsidRDefault="002C49A7">
            <w:pPr>
              <w:spacing w:after="0" w:line="360" w:lineRule="auto"/>
              <w:jc w:val="both"/>
              <w:rPr>
                <w:rFonts w:ascii="Times New Roman" w:eastAsia="SimSun" w:hAnsi="Times New Roman" w:cs="Times New Roman"/>
                <w:sz w:val="24"/>
                <w:szCs w:val="24"/>
              </w:rPr>
            </w:pPr>
          </w:p>
        </w:tc>
        <w:tc>
          <w:tcPr>
            <w:tcW w:w="118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No</w:t>
            </w:r>
          </w:p>
        </w:tc>
        <w:tc>
          <w:tcPr>
            <w:tcW w:w="103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31 (55.4)</w:t>
            </w:r>
          </w:p>
        </w:tc>
        <w:tc>
          <w:tcPr>
            <w:tcW w:w="1275" w:type="dxa"/>
          </w:tcPr>
          <w:p w:rsidR="002C49A7" w:rsidRDefault="00247361">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65(91.5)</w:t>
            </w:r>
          </w:p>
        </w:tc>
        <w:tc>
          <w:tcPr>
            <w:tcW w:w="960" w:type="dxa"/>
            <w:vMerge/>
          </w:tcPr>
          <w:p w:rsidR="002C49A7" w:rsidRDefault="002C49A7">
            <w:pPr>
              <w:spacing w:after="0" w:line="360" w:lineRule="auto"/>
              <w:jc w:val="both"/>
              <w:rPr>
                <w:rFonts w:ascii="Times New Roman" w:eastAsia="SimSun" w:hAnsi="Times New Roman" w:cs="Times New Roman"/>
                <w:sz w:val="24"/>
                <w:szCs w:val="24"/>
              </w:rPr>
            </w:pPr>
          </w:p>
        </w:tc>
        <w:tc>
          <w:tcPr>
            <w:tcW w:w="120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780" w:type="dxa"/>
            <w:vMerge/>
          </w:tcPr>
          <w:p w:rsidR="002C49A7" w:rsidRDefault="002C49A7">
            <w:pPr>
              <w:spacing w:after="0" w:line="360" w:lineRule="auto"/>
              <w:jc w:val="both"/>
              <w:rPr>
                <w:rFonts w:ascii="Times New Roman" w:eastAsia="SimSun" w:hAnsi="Times New Roman" w:cs="Times New Roman"/>
                <w:sz w:val="24"/>
                <w:szCs w:val="24"/>
              </w:rPr>
            </w:pPr>
          </w:p>
        </w:tc>
        <w:tc>
          <w:tcPr>
            <w:tcW w:w="1162" w:type="dxa"/>
            <w:vMerge/>
          </w:tcPr>
          <w:p w:rsidR="002C49A7" w:rsidRDefault="002C49A7">
            <w:pPr>
              <w:spacing w:after="0" w:line="360" w:lineRule="auto"/>
              <w:jc w:val="both"/>
              <w:rPr>
                <w:rFonts w:ascii="Times New Roman" w:eastAsia="SimSun" w:hAnsi="Times New Roman" w:cs="Times New Roman"/>
                <w:sz w:val="24"/>
                <w:szCs w:val="24"/>
              </w:rPr>
            </w:pPr>
          </w:p>
        </w:tc>
        <w:tc>
          <w:tcPr>
            <w:tcW w:w="698" w:type="dxa"/>
            <w:vMerge/>
          </w:tcPr>
          <w:p w:rsidR="002C49A7" w:rsidRDefault="002C49A7">
            <w:pPr>
              <w:spacing w:after="0" w:line="360" w:lineRule="auto"/>
              <w:jc w:val="both"/>
              <w:rPr>
                <w:rFonts w:ascii="Times New Roman" w:eastAsia="SimSun" w:hAnsi="Times New Roman" w:cs="Times New Roman"/>
                <w:sz w:val="24"/>
                <w:szCs w:val="24"/>
              </w:rPr>
            </w:pPr>
          </w:p>
        </w:tc>
      </w:tr>
    </w:tbl>
    <w:p w:rsidR="002C49A7" w:rsidRDefault="002C49A7">
      <w:pPr>
        <w:pStyle w:val="Heading1"/>
        <w:spacing w:line="360" w:lineRule="auto"/>
        <w:jc w:val="both"/>
        <w:rPr>
          <w:rFonts w:ascii="Times New Roman" w:hAnsi="Times New Roman" w:cs="Times New Roman"/>
          <w:b/>
          <w:bCs/>
          <w:color w:val="auto"/>
          <w:sz w:val="24"/>
          <w:szCs w:val="24"/>
        </w:rPr>
        <w:sectPr w:rsidR="002C49A7">
          <w:type w:val="continuous"/>
          <w:pgSz w:w="12240" w:h="15840"/>
          <w:pgMar w:top="1440" w:right="1080" w:bottom="1440" w:left="1080" w:header="720" w:footer="720" w:gutter="0"/>
          <w:cols w:space="425"/>
          <w:docGrid w:linePitch="360"/>
        </w:sectPr>
      </w:pPr>
      <w:bookmarkStart w:id="19" w:name="_Toc46645950"/>
    </w:p>
    <w:p w:rsidR="002C49A7" w:rsidRDefault="00247361">
      <w:pPr>
        <w:pStyle w:val="Heading1"/>
        <w:spacing w:line="360" w:lineRule="auto"/>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lastRenderedPageBreak/>
        <w:t>Discussion</w:t>
      </w:r>
      <w:bookmarkEnd w:id="19"/>
    </w:p>
    <w:p w:rsidR="002C49A7" w:rsidRDefault="00247361">
      <w:pPr>
        <w:spacing w:line="360" w:lineRule="auto"/>
        <w:jc w:val="both"/>
        <w:rPr>
          <w:rFonts w:ascii="Times New Roman" w:hAnsi="Times New Roman" w:cs="Times New Roman"/>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r>
        <w:rPr>
          <w:rFonts w:ascii="Times New Roman" w:hAnsi="Times New Roman" w:cs="Times New Roman"/>
          <w:sz w:val="24"/>
          <w:szCs w:val="24"/>
        </w:rPr>
        <w:t>This study indicated that the prevalence of superimposed preeclampsia among pregnant women with chronic hypertension to be 44.1%. Early preterm occurred among 25% of those with superimposed preeclampsia versus in 2.8% among those with chronic hypertension (AOR-</w:t>
      </w:r>
      <w:r>
        <w:rPr>
          <w:rFonts w:ascii="Times New Roman" w:hAnsi="Times New Roman" w:cs="Times New Roman"/>
          <w:sz w:val="24"/>
          <w:szCs w:val="24"/>
        </w:rPr>
        <w:lastRenderedPageBreak/>
        <w:t xml:space="preserve">45.9, 95% CI 7.6-275.9). Similarly, late preterm occurred among 21.4% of those with superimposed preeclampsia versus among 11.3% of those with chronic hypertension (AOR: 7.2, 95% CI 2.1-24.9). On the other hand, early term delivery occurred in 33.9% of those with superimposed </w:t>
      </w:r>
    </w:p>
    <w:p w:rsidR="002C49A7" w:rsidRDefault="00247361">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preeclampsia</w:t>
      </w:r>
      <w:proofErr w:type="gramEnd"/>
      <w:r>
        <w:rPr>
          <w:rFonts w:ascii="Times New Roman" w:hAnsi="Times New Roman" w:cs="Times New Roman"/>
          <w:sz w:val="24"/>
          <w:szCs w:val="24"/>
        </w:rPr>
        <w:t xml:space="preserve"> and 35.3% of those with chronic hypertension (AOR-4 95% CI 1.4-11.3). 14.3% of those with superimposed preeclampsia delivered at full term gestation compared to 47.9% of those with chronic hypertension who delivered at full term. </w:t>
      </w:r>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Still birth occurred in 5.4% and 1.4% of those with superimposed preeclampsia and those with chronic hypertension respectively whereas </w:t>
      </w:r>
      <w:proofErr w:type="gramStart"/>
      <w:r>
        <w:rPr>
          <w:rFonts w:ascii="Times New Roman" w:hAnsi="Times New Roman" w:cs="Times New Roman"/>
          <w:sz w:val="24"/>
          <w:szCs w:val="24"/>
        </w:rPr>
        <w:t>alive</w:t>
      </w:r>
      <w:proofErr w:type="gramEnd"/>
      <w:r>
        <w:rPr>
          <w:rFonts w:ascii="Times New Roman" w:hAnsi="Times New Roman" w:cs="Times New Roman"/>
          <w:sz w:val="24"/>
          <w:szCs w:val="24"/>
        </w:rPr>
        <w:t xml:space="preserve"> birth occurred in 89.3% and 95.8% of those with superimposed preeclampsia and those with chronic hypertension respectively. Birth weight of &lt;1000gm occurred in 5.4% of those with superimposed preeclampsia and in 4.2% of those with chronic hypertension, similarly birth weight of 1000-1500gm occurred in 10.7% of those with superimposed preeclampsia and none of those with chronic hypertension </w:t>
      </w:r>
      <w:proofErr w:type="spellStart"/>
      <w:r>
        <w:rPr>
          <w:rFonts w:ascii="Times New Roman" w:hAnsi="Times New Roman" w:cs="Times New Roman"/>
          <w:sz w:val="24"/>
          <w:szCs w:val="24"/>
        </w:rPr>
        <w:t>where as</w:t>
      </w:r>
      <w:proofErr w:type="spellEnd"/>
      <w:r>
        <w:rPr>
          <w:rFonts w:ascii="Times New Roman" w:hAnsi="Times New Roman" w:cs="Times New Roman"/>
          <w:sz w:val="24"/>
          <w:szCs w:val="24"/>
        </w:rPr>
        <w:t xml:space="preserve"> birth weight of 1500-2500gm occurred in 53.6% of those with superimposed preeclampsia 26.8% of those with chronic hypertension (AOR-3.1 95% CI 1.2-8.1) and &gt;2500gm occurred in 30.4% of superimposed preeclampsia and in 69% of chronic hypertension. </w:t>
      </w:r>
    </w:p>
    <w:p w:rsidR="002C49A7" w:rsidRDefault="0024736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Regarding admission to intensive care unit (ICU), 33.9% of neonates born from those with superimposed preeclampsia needed NICU admission while only 4.2% of neonates born from those with chronic hypertension  needed NICU admission (AOR: 8.5, 95% CI: 1.7-42.9). All the above finding indicated unfavorable obstetrics and neonatal factors (preterm delivery, still birth, abortion, low APGAR score of &lt;5 and 5-7, low birth weight of &lt;1000gm, 1000-1500gm, 1501-2500gm and admission to NICU) occurs more frequently among those with superimposed preeclampsia whereas favorable obstetrics and neonatal factors (full term delivery, alive birth, APGAR score of &gt;7, birth weight of &gt;2500gm and no need of NICU admission) occurred more frequently among those with only chronic hypertension.</w:t>
      </w:r>
    </w:p>
    <w:p w:rsidR="002C49A7" w:rsidRDefault="00247361">
      <w:pPr>
        <w:spacing w:line="36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The prevalence of superimposed preeclampsia in this study (44.1%) is almost closer to the </w:t>
      </w:r>
      <w:r>
        <w:rPr>
          <w:rFonts w:ascii="Times New Roman" w:hAnsi="Times New Roman" w:cs="Times New Roman"/>
          <w:color w:val="000000"/>
          <w:sz w:val="24"/>
          <w:szCs w:val="24"/>
        </w:rPr>
        <w:t xml:space="preserve">retrospective cohort study done in department of obstetrics and gynecology, faculty of medicine, </w:t>
      </w:r>
      <w:proofErr w:type="spellStart"/>
      <w:r>
        <w:rPr>
          <w:rFonts w:ascii="Times New Roman" w:hAnsi="Times New Roman" w:cs="Times New Roman"/>
          <w:color w:val="000000"/>
          <w:sz w:val="24"/>
          <w:szCs w:val="24"/>
        </w:rPr>
        <w:t>siriraj</w:t>
      </w:r>
      <w:proofErr w:type="spellEnd"/>
      <w:r>
        <w:rPr>
          <w:rFonts w:ascii="Times New Roman" w:hAnsi="Times New Roman" w:cs="Times New Roman"/>
          <w:color w:val="000000"/>
          <w:sz w:val="24"/>
          <w:szCs w:val="24"/>
        </w:rPr>
        <w:t xml:space="preserve"> hospital of Thailand (43.3%)</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&lt;EndNote&gt;&lt;Cite&gt;&lt;Author&gt;Boriboonhirunsarn&lt;/Author&gt;&lt;Year&gt;2017&lt;/Year&gt;&lt;RecNum&gt;20&lt;/RecNum&gt;&lt;DisplayText&gt;(4)&lt;/DisplayText&gt;&lt;record&gt;&lt;rec-number&gt;20&lt;/rec-number&gt;&lt;foreign-keys&gt;&lt;key app="EN" db-id="aez2w9td7dvre2ees5ypszf9xez900rafpxz"&gt;20&lt;/key&gt;&lt;/foreign-keys&gt;&lt;ref-type name="Journal Article"&gt;17&lt;/ref-type&gt;&lt;contributors&gt;&lt;authors&gt;&lt;author&gt;Boriboonhirunsarn, Dittakarn&lt;/author&gt;&lt;author&gt;Pradyachaipimol, Apichaya&lt;/author&gt;&lt;author&gt;Viriyapak, Boonlert&lt;/author&gt;&lt;/authors&gt;&lt;/contributors&gt;&lt;titles&gt;&lt;title&gt;Incidence of superimposed preeclampsia among pregnant Asian women with chronic hypertension&lt;/title&gt;&lt;secondary-title&gt;Hypertension in pregnancy&lt;/secondary-title&gt;&lt;/titles&gt;&lt;periodical&gt;&lt;full-title&gt;Hypertension in pregnancy&lt;/full-title&gt;&lt;/periodical&gt;&lt;pages&gt;226-231&lt;/pages&gt;&lt;volume&gt;36&lt;/volume&gt;&lt;number&gt;2&lt;/number&gt;&lt;dates&gt;&lt;year&gt;2017&lt;/year&gt;&lt;/dates&gt;&lt;isbn&gt;1064-1955&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w:t>
      </w:r>
      <w:hyperlink w:anchor="_ENREF_4" w:tooltip="Boriboonhirunsarn, 2017 #20" w:history="1">
        <w:r>
          <w:rPr>
            <w:rFonts w:ascii="Times New Roman" w:hAnsi="Times New Roman" w:cs="Times New Roman"/>
            <w:color w:val="000000"/>
            <w:sz w:val="24"/>
            <w:szCs w:val="24"/>
          </w:rPr>
          <w:t>4</w:t>
        </w:r>
      </w:hyperlink>
      <w:r>
        <w:rPr>
          <w:rFonts w:ascii="Times New Roman" w:hAnsi="Times New Roman" w:cs="Times New Roman"/>
          <w:color w:val="000000"/>
          <w:sz w:val="24"/>
          <w:szCs w:val="24"/>
        </w:rPr>
        <w:t>)</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and it also </w:t>
      </w:r>
      <w:r>
        <w:rPr>
          <w:rFonts w:ascii="Times New Roman" w:hAnsi="Times New Roman" w:cs="Times New Roman"/>
          <w:color w:val="000000"/>
          <w:sz w:val="24"/>
          <w:szCs w:val="24"/>
        </w:rPr>
        <w:lastRenderedPageBreak/>
        <w:t>within the range of ACOG which is between 20% and 50%</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&lt;EndNote&gt;&lt;Cite&gt;&lt;Author&gt;Hoshino&lt;/Author&gt;&lt;Year&gt;2019&lt;/Year&gt;&lt;RecNum&gt;25&lt;/RecNum&gt;&lt;DisplayText&gt;(13)&lt;/DisplayText&gt;&lt;record&gt;&lt;rec-number&gt;25&lt;/rec-number&gt;&lt;foreign-keys&gt;&lt;key app="EN" db-id="aez2w9td7dvre2ees5ypszf9xez900rafpxz"&gt;25&lt;/key&gt;&lt;/foreign-keys&gt;&lt;ref-type name="Journal Article"&gt;17&lt;/ref-type&gt;&lt;contributors&gt;&lt;authors&gt;&lt;author&gt;Hoshino, Asako&lt;/author&gt;&lt;author&gt;Obata, Soichiro&lt;/author&gt;&lt;author&gt;Tochio, Azusa&lt;/author&gt;&lt;author&gt;Seki, Kazuo&lt;/author&gt;&lt;author&gt;Miyagi, Etsuko&lt;/author&gt;&lt;author&gt;Aoki, Shigeru&lt;/author&gt;&lt;/authors&gt;&lt;/contributors&gt;&lt;titles&gt;&lt;title&gt;Efficacy of expectant management of severe preeclampsia and preeclampsia superimposed on chronic hypertension before 34 weeks gestation&lt;/title&gt;&lt;secondary-title&gt;Pregnancy hypertension&lt;/secondary-title&gt;&lt;/titles&gt;&lt;periodical&gt;&lt;full-title&gt;Pregnancy hypertension&lt;/full-title&gt;&lt;/periodical&gt;&lt;pages&gt;177-180&lt;/pages&gt;&lt;volume&gt;15&lt;/volume&gt;&lt;dates&gt;&lt;year&gt;2019&lt;/year&gt;&lt;/dates&gt;&lt;isbn&gt;2210-7789&lt;/isbn&gt;&lt;urls&gt;&lt;/urls&gt;&lt;/record&gt;&lt;/Cite&gt;&lt;/EndNote&gt;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w:t>
      </w:r>
      <w:hyperlink w:anchor="_ENREF_13" w:tooltip="Hoshino, 2019 #25" w:history="1">
        <w:r>
          <w:rPr>
            <w:rFonts w:ascii="Times New Roman" w:hAnsi="Times New Roman" w:cs="Times New Roman"/>
            <w:color w:val="000000"/>
            <w:sz w:val="24"/>
            <w:szCs w:val="24"/>
          </w:rPr>
          <w:t>13</w:t>
        </w:r>
      </w:hyperlink>
      <w:r>
        <w:rPr>
          <w:rFonts w:ascii="Times New Roman" w:hAnsi="Times New Roman" w:cs="Times New Roman"/>
          <w:color w:val="000000"/>
          <w:sz w:val="24"/>
          <w:szCs w:val="24"/>
        </w:rPr>
        <w:t>)</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comparable with African meta-analysis (44%)</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&lt;EndNote&gt;&lt;Cite&gt;&lt;Author&gt;flore Nyaga&lt;/Author&gt;&lt;Year&gt;2018&lt;/Year&gt;&lt;RecNum&gt;1&lt;/RecNum&gt;&lt;DisplayText&gt;(6)&lt;/DisplayText&gt;&lt;record&gt;&lt;rec-number&gt;1&lt;/rec-number&gt;&lt;foreign-keys&gt;&lt;key app="EN" db-id="aez2w9td7dvre2ees5ypszf9xez900rafpxz"&gt;1&lt;/key&gt;&lt;/foreign-keys&gt;&lt;ref-type name="Journal Article"&gt;17&lt;/ref-type&gt;&lt;contributors&gt;&lt;authors&gt;&lt;author&gt;flore Nyaga, Ulrich&lt;/author&gt;&lt;author&gt;Bigna, Jean Joel&lt;/author&gt;&lt;author&gt;Jingi, Ahmadou M&lt;/author&gt;&lt;author&gt;Nansseu, Jobert Richie&lt;/author&gt;&lt;author&gt;Kaze, Arnaud D&lt;/author&gt;&lt;author&gt;Fokom-Domgue, Joel&lt;/author&gt;&lt;author&gt;Noubiap, Jean Jacques&lt;/author&gt;&lt;/authors&gt;&lt;/contributors&gt;&lt;titles&gt;&lt;title&gt;A17575 Hypertensive disorders of pregnancy in Africa: a systematic review and meta-analysis&lt;/title&gt;&lt;secondary-title&gt;Journal of Hypertension&lt;/secondary-title&gt;&lt;/titles&gt;&lt;periodical&gt;&lt;full-title&gt;Journal of Hypertension&lt;/full-title&gt;&lt;/periodical&gt;&lt;pages&gt;e250-e251&lt;/pages&gt;&lt;volume&gt;36&lt;/volume&gt;&lt;dates&gt;&lt;year&gt;2018&lt;/year&gt;&lt;/dates&gt;&lt;isbn&gt;0263-6352&lt;/isbn&gt;&lt;urls&gt;&lt;/urls&gt;&lt;/record&gt;&lt;/Cite&gt;&lt;/EndNote&gt;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w:t>
      </w:r>
      <w:hyperlink w:anchor="_ENREF_6" w:tooltip="flore Nyaga, 2018 #1" w:history="1">
        <w:r>
          <w:rPr>
            <w:rFonts w:ascii="Times New Roman" w:hAnsi="Times New Roman" w:cs="Times New Roman"/>
            <w:color w:val="000000"/>
            <w:sz w:val="24"/>
            <w:szCs w:val="24"/>
          </w:rPr>
          <w:t>6</w:t>
        </w:r>
      </w:hyperlink>
      <w:r>
        <w:rPr>
          <w:rFonts w:ascii="Times New Roman" w:hAnsi="Times New Roman" w:cs="Times New Roman"/>
          <w:color w:val="000000"/>
          <w:sz w:val="24"/>
          <w:szCs w:val="24"/>
        </w:rPr>
        <w:t>)</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higher than </w:t>
      </w:r>
      <w:proofErr w:type="spellStart"/>
      <w:r>
        <w:rPr>
          <w:rFonts w:ascii="Times New Roman" w:hAnsi="Times New Roman" w:cs="Times New Roman"/>
          <w:color w:val="000000"/>
          <w:sz w:val="24"/>
          <w:szCs w:val="24"/>
        </w:rPr>
        <w:t>than</w:t>
      </w:r>
      <w:proofErr w:type="spellEnd"/>
      <w:r>
        <w:rPr>
          <w:rFonts w:ascii="Times New Roman" w:hAnsi="Times New Roman" w:cs="Times New Roman"/>
          <w:color w:val="000000"/>
          <w:sz w:val="24"/>
          <w:szCs w:val="24"/>
        </w:rPr>
        <w:t xml:space="preserve"> retrospective cohort done in university of Alabama (18.9%)</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&lt;EndNote&gt;&lt;Cite&gt;&lt;Author&gt;Becker&lt;/Author&gt;&lt;Year&gt;2019&lt;/Year&gt;&lt;RecNum&gt;28&lt;/RecNum&gt;&lt;DisplayText&gt;(14)&lt;/DisplayText&gt;&lt;record&gt;&lt;rec-number&gt;28&lt;/rec-number&gt;&lt;foreign-keys&gt;&lt;key app="EN" db-id="aez2w9td7dvre2ees5ypszf9xez900rafpxz"&gt;28&lt;/key&gt;&lt;/foreign-keys&gt;&lt;ref-type name="Journal Article"&gt;17&lt;/ref-type&gt;&lt;contributors&gt;&lt;authors&gt;&lt;author&gt;Becker, David A&lt;/author&gt;&lt;author&gt;Machemehl, Hannah C&lt;/author&gt;&lt;author&gt;Biggio, Joseph R&lt;/author&gt;&lt;author&gt;Siegel, Anne M&lt;/author&gt;&lt;author&gt;Tita, Alan T&lt;/author&gt;&lt;author&gt;Harper, Lorie M&lt;/author&gt;&lt;/authors&gt;&lt;/contributors&gt;&lt;titles&gt;&lt;title&gt;Pregnancy outcomes of exacerbated chronic hypertension compared with superimposed preeclampsia&lt;/title&gt;&lt;secondary-title&gt;American journal of perinatology&lt;/secondary-title&gt;&lt;/titles&gt;&lt;periodical&gt;&lt;full-title&gt;American journal of perinatology&lt;/full-title&gt;&lt;/periodical&gt;&lt;pages&gt;872-878&lt;/pages&gt;&lt;volume&gt;36&lt;/volume&gt;&lt;number&gt;08&lt;/number&gt;&lt;dates&gt;&lt;year&gt;2019&lt;/year&gt;&lt;/dates&gt;&lt;isbn&gt;0735-1631&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w:t>
      </w:r>
      <w:hyperlink w:anchor="_ENREF_14" w:tooltip="Becker, 2019 #28" w:history="1">
        <w:r>
          <w:rPr>
            <w:rFonts w:ascii="Times New Roman" w:hAnsi="Times New Roman" w:cs="Times New Roman"/>
            <w:color w:val="000000"/>
            <w:sz w:val="24"/>
            <w:szCs w:val="24"/>
          </w:rPr>
          <w:t>14</w:t>
        </w:r>
      </w:hyperlink>
      <w:r>
        <w:rPr>
          <w:rFonts w:ascii="Times New Roman" w:hAnsi="Times New Roman" w:cs="Times New Roman"/>
          <w:color w:val="000000"/>
          <w:sz w:val="24"/>
          <w:szCs w:val="24"/>
        </w:rPr>
        <w:t>)</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and less than similar retrospective study done in </w:t>
      </w:r>
      <w:proofErr w:type="spellStart"/>
      <w:r>
        <w:rPr>
          <w:rFonts w:ascii="Times New Roman" w:hAnsi="Times New Roman" w:cs="Times New Roman"/>
          <w:color w:val="000000"/>
          <w:sz w:val="24"/>
          <w:szCs w:val="24"/>
        </w:rPr>
        <w:t>Instanbul</w:t>
      </w:r>
      <w:proofErr w:type="spellEnd"/>
      <w:r>
        <w:rPr>
          <w:rFonts w:ascii="Times New Roman" w:hAnsi="Times New Roman" w:cs="Times New Roman"/>
          <w:color w:val="000000"/>
          <w:sz w:val="24"/>
          <w:szCs w:val="24"/>
        </w:rPr>
        <w:t xml:space="preserve"> university (49.4%)</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&lt;EndNote&gt;&lt;Cite&gt;&lt;Author&gt;Simsek&lt;/Author&gt;&lt;Year&gt;2017&lt;/Year&gt;&lt;RecNum&gt;63&lt;/RecNum&gt;&lt;DisplayText&gt;(15)&lt;/DisplayText&gt;&lt;record&gt;&lt;rec-number&gt;63&lt;/rec-number&gt;&lt;foreign-keys&gt;&lt;key app="EN" db-id="aez2w9td7dvre2ees5ypszf9xez900rafpxz"&gt;63&lt;/key&gt;&lt;/foreign-keys&gt;&lt;ref-type name="Journal Article"&gt;17&lt;/ref-type&gt;&lt;contributors&gt;&lt;authors&gt;&lt;author&gt;Simsek, Arife&lt;/author&gt;&lt;author&gt;Uludag, Seyfettin&lt;/author&gt;&lt;author&gt;Tuten, Abdullah&lt;/author&gt;&lt;author&gt;Uludag, Sezin&lt;/author&gt;&lt;/authors&gt;&lt;/contributors&gt;&lt;titles&gt;&lt;title&gt;Maternal and perinatal outcomes in women with chronic hypertension and risk factors of superimposed preeclampsia&lt;/title&gt;&lt;secondary-title&gt;HJOG&lt;/secondary-title&gt;&lt;/titles&gt;&lt;periodical&gt;&lt;full-title&gt;HJOG&lt;/full-title&gt;&lt;/periodical&gt;&lt;volume&gt;15&lt;/volume&gt;&lt;number&gt;4&lt;/number&gt;&lt;dates&gt;&lt;year&gt;2017&lt;/year&gt;&lt;/dates&gt;&lt;isbn&gt;2241-9276&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w:t>
      </w:r>
      <w:hyperlink w:anchor="_ENREF_15" w:tooltip="Simsek, 2017 #63" w:history="1">
        <w:r>
          <w:rPr>
            <w:rFonts w:ascii="Times New Roman" w:hAnsi="Times New Roman" w:cs="Times New Roman"/>
            <w:color w:val="000000"/>
            <w:sz w:val="24"/>
            <w:szCs w:val="24"/>
          </w:rPr>
          <w:t>15</w:t>
        </w:r>
      </w:hyperlink>
      <w:r>
        <w:rPr>
          <w:rFonts w:ascii="Times New Roman" w:hAnsi="Times New Roman" w:cs="Times New Roman"/>
          <w:color w:val="000000"/>
          <w:sz w:val="24"/>
          <w:szCs w:val="24"/>
        </w:rPr>
        <w:t>)</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w:t>
      </w:r>
    </w:p>
    <w:p w:rsidR="002C49A7" w:rsidRDefault="00247361">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Additionally the prevalence of superimposed preeclampsia (SIP) with severe feature is 76.8% and that SIP without severe feature is 23.2% which is in contrary to ACOG finding of 40.3 % and 59.7% respectively</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&lt;EndNote&gt;&lt;Cite&gt;&lt;Author&gt;Hoshino&lt;/Author&gt;&lt;Year&gt;2019&lt;/Year&gt;&lt;RecNum&gt;25&lt;/RecNum&gt;&lt;DisplayText&gt;(13)&lt;/DisplayText&gt;&lt;record&gt;&lt;rec-number&gt;25&lt;/rec-number&gt;&lt;foreign-keys&gt;&lt;key app="EN" db-id="aez2w9td7dvre2ees5ypszf9xez900rafpxz"&gt;25&lt;/key&gt;&lt;/foreign-keys&gt;&lt;ref-type name="Journal Article"&gt;17&lt;/ref-type&gt;&lt;contributors&gt;&lt;authors&gt;&lt;author&gt;Hoshino, Asako&lt;/author&gt;&lt;author&gt;Obata, Soichiro&lt;/author&gt;&lt;author&gt;Tochio, Azusa&lt;/author&gt;&lt;author&gt;Seki, Kazuo&lt;/author&gt;&lt;author&gt;Miyagi, Etsuko&lt;/author&gt;&lt;author&gt;Aoki, Shigeru&lt;/author&gt;&lt;/authors&gt;&lt;/contributors&gt;&lt;titles&gt;&lt;title&gt;Efficacy of expectant management of severe preeclampsia and preeclampsia superimposed on chronic hypertension before 34 weeks gestation&lt;/title&gt;&lt;secondary-title&gt;Pregnancy hypertension&lt;/secondary-title&gt;&lt;/titles&gt;&lt;periodical&gt;&lt;full-title&gt;Pregnancy hypertension&lt;/full-title&gt;&lt;/periodical&gt;&lt;pages&gt;177-180&lt;/pages&gt;&lt;volume&gt;15&lt;/volume&gt;&lt;dates&gt;&lt;year&gt;2019&lt;/year&gt;&lt;/dates&gt;&lt;isbn&gt;2210-7789&lt;/isbn&gt;&lt;urls&gt;&lt;/urls&gt;&lt;/record&gt;&lt;/Cite&gt;&lt;/EndNote&gt;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w:t>
      </w:r>
      <w:hyperlink w:anchor="_ENREF_13" w:tooltip="Hoshino, 2019 #25" w:history="1">
        <w:r>
          <w:rPr>
            <w:rFonts w:ascii="Times New Roman" w:hAnsi="Times New Roman" w:cs="Times New Roman"/>
            <w:color w:val="000000"/>
            <w:sz w:val="24"/>
            <w:szCs w:val="24"/>
          </w:rPr>
          <w:t>13</w:t>
        </w:r>
      </w:hyperlink>
      <w:r>
        <w:rPr>
          <w:rFonts w:ascii="Times New Roman" w:hAnsi="Times New Roman" w:cs="Times New Roman"/>
          <w:color w:val="000000"/>
          <w:sz w:val="24"/>
          <w:szCs w:val="24"/>
        </w:rPr>
        <w:t>)</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Regarding gestational age at diagnosis 46.4% diagnosed before 34 weeks and 53.6% diagnosed after 34 weeks having similarity with retrospective cohort study done in department of obstetrics and gynecology, faculty of medicine, </w:t>
      </w:r>
      <w:proofErr w:type="spellStart"/>
      <w:r>
        <w:rPr>
          <w:rFonts w:ascii="Times New Roman" w:hAnsi="Times New Roman" w:cs="Times New Roman"/>
          <w:color w:val="000000"/>
          <w:sz w:val="24"/>
          <w:szCs w:val="24"/>
        </w:rPr>
        <w:t>siriraj</w:t>
      </w:r>
      <w:proofErr w:type="spellEnd"/>
      <w:r>
        <w:rPr>
          <w:rFonts w:ascii="Times New Roman" w:hAnsi="Times New Roman" w:cs="Times New Roman"/>
          <w:color w:val="000000"/>
          <w:sz w:val="24"/>
          <w:szCs w:val="24"/>
        </w:rPr>
        <w:t xml:space="preserve"> hospital of Thailand with 17.7% and 82.3% respectively</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&lt;EndNote&gt;&lt;Cite&gt;&lt;Author&gt;Boriboonhirunsarn&lt;/Author&gt;&lt;Year&gt;2017&lt;/Year&gt;&lt;RecNum&gt;20&lt;/RecNum&gt;&lt;DisplayText&gt;(4)&lt;/DisplayText&gt;&lt;record&gt;&lt;rec-number&gt;20&lt;/rec-number&gt;&lt;foreign-keys&gt;&lt;key app="EN" db-id="aez2w9td7dvre2ees5ypszf9xez900rafpxz"&gt;20&lt;/key&gt;&lt;/foreign-keys&gt;&lt;ref-type name="Journal Article"&gt;17&lt;/ref-type&gt;&lt;contributors&gt;&lt;authors&gt;&lt;author&gt;Boriboonhirunsarn, Dittakarn&lt;/author&gt;&lt;author&gt;Pradyachaipimol, Apichaya&lt;/author&gt;&lt;author&gt;Viriyapak, Boonlert&lt;/author&gt;&lt;/authors&gt;&lt;/contributors&gt;&lt;titles&gt;&lt;title&gt;Incidence of superimposed preeclampsia among pregnant Asian women with chronic hypertension&lt;/title&gt;&lt;secondary-title&gt;Hypertension in pregnancy&lt;/secondary-title&gt;&lt;/titles&gt;&lt;periodical&gt;&lt;full-title&gt;Hypertension in pregnancy&lt;/full-title&gt;&lt;/periodical&gt;&lt;pages&gt;226-231&lt;/pages&gt;&lt;volume&gt;36&lt;/volume&gt;&lt;number&gt;2&lt;/number&gt;&lt;dates&gt;&lt;year&gt;2017&lt;/year&gt;&lt;/dates&gt;&lt;isbn&gt;1064-1955&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w:t>
      </w:r>
      <w:hyperlink w:anchor="_ENREF_4" w:tooltip="Boriboonhirunsarn, 2017 #20" w:history="1">
        <w:r>
          <w:rPr>
            <w:rFonts w:ascii="Times New Roman" w:hAnsi="Times New Roman" w:cs="Times New Roman"/>
            <w:color w:val="000000"/>
            <w:sz w:val="24"/>
            <w:szCs w:val="24"/>
          </w:rPr>
          <w:t>4</w:t>
        </w:r>
      </w:hyperlink>
      <w:r>
        <w:rPr>
          <w:rFonts w:ascii="Times New Roman" w:hAnsi="Times New Roman" w:cs="Times New Roman"/>
          <w:color w:val="000000"/>
          <w:sz w:val="24"/>
          <w:szCs w:val="24"/>
        </w:rPr>
        <w:t>)</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w:t>
      </w:r>
    </w:p>
    <w:p w:rsidR="002C49A7" w:rsidRDefault="00247361">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Regarding the perinatal outcome preterm delivery and ICU admission, it is more common among superimposed preeclampsia accounting for 51.8% and 33.9% respectively which is similar to retrospective cohort done in university of Alabama accounting for 35.7% and 21.5% respectively</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&lt;EndNote&gt;&lt;Cite&gt;&lt;Author&gt;Becker&lt;/Author&gt;&lt;Year&gt;2019&lt;/Year&gt;&lt;RecNum&gt;28&lt;/RecNum&gt;&lt;DisplayText&gt;(14)&lt;/DisplayText&gt;&lt;record&gt;&lt;rec-number&gt;28&lt;/rec-number&gt;&lt;foreign-keys&gt;&lt;key app="EN" db-id="aez2w9td7dvre2ees5ypszf9xez900rafpxz"&gt;28&lt;/key&gt;&lt;/foreign-keys&gt;&lt;ref-type name="Journal Article"&gt;17&lt;/ref-type&gt;&lt;contributors&gt;&lt;authors&gt;&lt;author&gt;Becker, David A&lt;/author&gt;&lt;author&gt;Machemehl, Hannah C&lt;/author&gt;&lt;author&gt;Biggio, Joseph R&lt;/author&gt;&lt;author&gt;Siegel, Anne M&lt;/author&gt;&lt;author&gt;Tita, Alan T&lt;/author&gt;&lt;author&gt;Harper, Lorie M&lt;/author&gt;&lt;/authors&gt;&lt;/contributors&gt;&lt;titles&gt;&lt;title&gt;Pregnancy outcomes of exacerbated chronic hypertension compared with superimposed preeclampsia&lt;/title&gt;&lt;secondary-title&gt;American journal of perinatology&lt;/secondary-title&gt;&lt;/titles&gt;&lt;periodical&gt;&lt;full-title&gt;American journal of perinatology&lt;/full-title&gt;&lt;/periodical&gt;&lt;pages&gt;872-878&lt;/pages&gt;&lt;volume&gt;36&lt;/volume&gt;&lt;number&gt;08&lt;/number&gt;&lt;dates&gt;&lt;year&gt;2019&lt;/year&gt;&lt;/dates&gt;&lt;isbn&gt;0735-1631&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w:t>
      </w:r>
      <w:hyperlink w:anchor="_ENREF_14" w:tooltip="Becker, 2019 #28" w:history="1">
        <w:r>
          <w:rPr>
            <w:rFonts w:ascii="Times New Roman" w:hAnsi="Times New Roman" w:cs="Times New Roman"/>
            <w:color w:val="000000"/>
            <w:sz w:val="24"/>
            <w:szCs w:val="24"/>
          </w:rPr>
          <w:t>14</w:t>
        </w:r>
      </w:hyperlink>
      <w:r>
        <w:rPr>
          <w:rFonts w:ascii="Times New Roman" w:hAnsi="Times New Roman" w:cs="Times New Roman"/>
          <w:color w:val="000000"/>
          <w:sz w:val="24"/>
          <w:szCs w:val="24"/>
        </w:rPr>
        <w:t>)</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This study reveals age at diagnosis and high risk ANC follow up is an independent factor associated factor with development of superimposed </w:t>
      </w:r>
      <w:proofErr w:type="spellStart"/>
      <w:r>
        <w:rPr>
          <w:rFonts w:ascii="Times New Roman" w:hAnsi="Times New Roman" w:cs="Times New Roman"/>
          <w:color w:val="000000"/>
          <w:sz w:val="24"/>
          <w:szCs w:val="24"/>
        </w:rPr>
        <w:t>preclampsia</w:t>
      </w:r>
      <w:proofErr w:type="spellEnd"/>
      <w:r>
        <w:rPr>
          <w:rFonts w:ascii="Times New Roman" w:hAnsi="Times New Roman" w:cs="Times New Roman"/>
          <w:color w:val="000000"/>
          <w:sz w:val="24"/>
          <w:szCs w:val="24"/>
        </w:rPr>
        <w:t xml:space="preserve">. </w:t>
      </w:r>
    </w:p>
    <w:p w:rsidR="002C49A7" w:rsidRDefault="00247361">
      <w:pPr>
        <w:pStyle w:val="Heading2"/>
        <w:spacing w:line="360" w:lineRule="auto"/>
        <w:jc w:val="both"/>
        <w:rPr>
          <w:rFonts w:ascii="Times New Roman" w:hAnsi="Times New Roman" w:cs="Times New Roman"/>
          <w:sz w:val="24"/>
          <w:szCs w:val="24"/>
        </w:rPr>
      </w:pPr>
      <w:bookmarkStart w:id="20" w:name="_Toc25165566"/>
      <w:bookmarkStart w:id="21" w:name="_Toc46645951"/>
      <w:r>
        <w:rPr>
          <w:rFonts w:ascii="Times New Roman" w:hAnsi="Times New Roman" w:cs="Times New Roman"/>
          <w:sz w:val="24"/>
          <w:szCs w:val="24"/>
        </w:rPr>
        <w:lastRenderedPageBreak/>
        <w:t>Limitations of the Study</w:t>
      </w:r>
      <w:bookmarkEnd w:id="20"/>
      <w:bookmarkEnd w:id="21"/>
    </w:p>
    <w:p w:rsidR="002C49A7" w:rsidRDefault="00247361">
      <w:pPr>
        <w:pStyle w:val="ListParagraph"/>
        <w:numPr>
          <w:ilvl w:val="0"/>
          <w:numId w:val="2"/>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This study is conducted in tertiary hospital (facility based) and therefore difficult to generalize to the whole community, though it can be generalized to those seeking health service at tertiary facilities</w:t>
      </w:r>
    </w:p>
    <w:p w:rsidR="002C49A7" w:rsidRDefault="00247361">
      <w:pPr>
        <w:pStyle w:val="ListParagraph"/>
        <w:numPr>
          <w:ilvl w:val="0"/>
          <w:numId w:val="2"/>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It is also retrospective study</w:t>
      </w:r>
    </w:p>
    <w:p w:rsidR="002C49A7" w:rsidRDefault="00247361">
      <w:pPr>
        <w:pStyle w:val="ListParagraph"/>
        <w:numPr>
          <w:ilvl w:val="0"/>
          <w:numId w:val="2"/>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The sample size is small</w:t>
      </w:r>
    </w:p>
    <w:p w:rsidR="002C49A7" w:rsidRDefault="00247361">
      <w:pPr>
        <w:pStyle w:val="ListParagraph"/>
        <w:numPr>
          <w:ilvl w:val="0"/>
          <w:numId w:val="2"/>
        </w:numPr>
        <w:spacing w:after="200" w:line="360" w:lineRule="auto"/>
        <w:rPr>
          <w:rFonts w:ascii="Times New Roman" w:hAnsi="Times New Roman" w:cs="Times New Roman"/>
          <w:color w:val="333333"/>
          <w:sz w:val="24"/>
          <w:szCs w:val="24"/>
          <w:shd w:val="clear" w:color="auto" w:fill="F9F7F7"/>
        </w:rPr>
      </w:pPr>
      <w:r>
        <w:rPr>
          <w:rFonts w:ascii="Times New Roman" w:hAnsi="Times New Roman" w:cs="Times New Roman"/>
          <w:sz w:val="24"/>
          <w:szCs w:val="24"/>
        </w:rPr>
        <w:t>Incompleteness of patient’s medical records</w:t>
      </w:r>
    </w:p>
    <w:p w:rsidR="002C49A7" w:rsidRDefault="00247361">
      <w:pPr>
        <w:pStyle w:val="Heading1"/>
        <w:spacing w:line="360" w:lineRule="auto"/>
        <w:jc w:val="both"/>
        <w:rPr>
          <w:rFonts w:ascii="Times New Roman" w:hAnsi="Times New Roman" w:cs="Times New Roman"/>
          <w:b/>
          <w:bCs/>
          <w:color w:val="auto"/>
          <w:sz w:val="24"/>
          <w:szCs w:val="24"/>
          <w:shd w:val="clear" w:color="auto" w:fill="FFFFFF"/>
        </w:rPr>
      </w:pPr>
      <w:bookmarkStart w:id="22" w:name="_Toc46645952"/>
      <w:r>
        <w:rPr>
          <w:rFonts w:ascii="Times New Roman" w:hAnsi="Times New Roman" w:cs="Times New Roman"/>
          <w:b/>
          <w:bCs/>
          <w:color w:val="auto"/>
          <w:sz w:val="24"/>
          <w:szCs w:val="24"/>
          <w:shd w:val="clear" w:color="auto" w:fill="FFFFFF"/>
        </w:rPr>
        <w:t>Conclusions and Recommendations</w:t>
      </w:r>
      <w:bookmarkEnd w:id="22"/>
    </w:p>
    <w:p w:rsidR="002C49A7" w:rsidRDefault="00247361">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In summary, the prevalence of superimposed preeclampsia was found to be higher in this study. High risk ANC follow was associated with occurrence of SIP. Additionally, unfavorable neonatal outcomes were found to be higher among those with superimposed preeclampsia than those with chronic hypertension. Therefore, it is recommended that study (with appropriate study designs like cohort, case </w:t>
      </w:r>
      <w:proofErr w:type="gramStart"/>
      <w:r>
        <w:rPr>
          <w:rFonts w:ascii="Times New Roman" w:hAnsi="Times New Roman" w:cs="Times New Roman"/>
          <w:color w:val="000000"/>
          <w:sz w:val="24"/>
          <w:szCs w:val="24"/>
          <w:shd w:val="clear" w:color="auto" w:fill="FFFFFF"/>
        </w:rPr>
        <w:t>control, …)</w:t>
      </w:r>
      <w:proofErr w:type="gramEnd"/>
      <w:r>
        <w:rPr>
          <w:rFonts w:ascii="Times New Roman" w:hAnsi="Times New Roman" w:cs="Times New Roman"/>
          <w:color w:val="000000"/>
          <w:sz w:val="24"/>
          <w:szCs w:val="24"/>
          <w:shd w:val="clear" w:color="auto" w:fill="FFFFFF"/>
        </w:rPr>
        <w:t xml:space="preserve"> be conducted to identify risk factors of superimposed preeclampsia among those with chronic hypertension and appropriate measures taken to reduce its prevalence and unfavorable neonatal outcomes. </w:t>
      </w:r>
    </w:p>
    <w:p w:rsidR="002C49A7" w:rsidRDefault="00247361">
      <w:pPr>
        <w:spacing w:line="360" w:lineRule="auto"/>
        <w:jc w:val="both"/>
        <w:rPr>
          <w:rFonts w:ascii="Times New Roman" w:hAnsi="Times New Roman" w:cs="Times New Roman"/>
          <w:b/>
          <w:bCs/>
          <w:sz w:val="28"/>
          <w:szCs w:val="28"/>
        </w:rPr>
      </w:pPr>
      <w:r>
        <w:rPr>
          <w:rFonts w:ascii="Times New Roman" w:hAnsi="Times New Roman" w:cs="Times New Roman"/>
          <w:b/>
          <w:bCs/>
          <w:color w:val="000000"/>
          <w:sz w:val="28"/>
          <w:szCs w:val="28"/>
          <w:shd w:val="clear" w:color="auto" w:fill="FFFFFF"/>
        </w:rPr>
        <w:t>Conflict of interest</w:t>
      </w:r>
      <w:r>
        <w:rPr>
          <w:rFonts w:ascii="Times New Roman" w:hAnsi="Times New Roman" w:cs="Times New Roman"/>
          <w:color w:val="000000"/>
          <w:sz w:val="24"/>
          <w:szCs w:val="24"/>
          <w:shd w:val="clear" w:color="auto" w:fill="FFFFFF"/>
        </w:rPr>
        <w:t>- None</w:t>
      </w:r>
      <w:bookmarkStart w:id="23" w:name="_Toc13285179"/>
    </w:p>
    <w:p w:rsidR="002C49A7" w:rsidRDefault="00247361">
      <w:pPr>
        <w:pStyle w:val="Heading1"/>
        <w:spacing w:line="360" w:lineRule="auto"/>
        <w:rPr>
          <w:rFonts w:ascii="Times New Roman" w:hAnsi="Times New Roman" w:cs="Times New Roman"/>
          <w:b/>
          <w:bCs/>
          <w:color w:val="auto"/>
          <w:sz w:val="28"/>
          <w:szCs w:val="28"/>
        </w:rPr>
      </w:pPr>
      <w:r>
        <w:rPr>
          <w:rFonts w:ascii="Times New Roman" w:hAnsi="Times New Roman" w:cs="Times New Roman"/>
          <w:b/>
          <w:bCs/>
          <w:color w:val="auto"/>
          <w:sz w:val="28"/>
          <w:szCs w:val="28"/>
        </w:rPr>
        <w:t>List of Abbreviations and Acronyms</w:t>
      </w:r>
      <w:bookmarkEnd w:id="23"/>
    </w:p>
    <w:p w:rsidR="002C49A7" w:rsidRDefault="00247361">
      <w:pPr>
        <w:pStyle w:val="NormalWeb"/>
        <w:spacing w:before="288" w:beforeAutospacing="0" w:after="0" w:afterAutospacing="0" w:line="360" w:lineRule="auto"/>
        <w:jc w:val="both"/>
        <w:rPr>
          <w:rFonts w:eastAsiaTheme="minorEastAsia"/>
          <w:color w:val="000000" w:themeColor="text1"/>
          <w:kern w:val="24"/>
        </w:rPr>
      </w:pPr>
      <w:r>
        <w:rPr>
          <w:rFonts w:eastAsiaTheme="minorEastAsia"/>
          <w:color w:val="000000" w:themeColor="text1"/>
          <w:kern w:val="24"/>
        </w:rPr>
        <w:t xml:space="preserve">ANC- Antenatal Care, NA- not available, ACOG- American College of obstetrics and gynecology, </w:t>
      </w:r>
      <w:r>
        <w:rPr>
          <w:rFonts w:eastAsiaTheme="minorEastAsia"/>
          <w:color w:val="000000" w:themeColor="text1"/>
          <w:kern w:val="24"/>
        </w:rPr>
        <w:lastRenderedPageBreak/>
        <w:t>AOR- adjusted odd’s ratio, BOV- Blurring of vision, BP-Blood Pressure, CHTN-Chronic Hypertension, CI-Confidence Interval, CS- Cesarean Section, HDP – Hypertensive Disease of Pregnancy, MCH-Maternal and Child Health, NICU-Neonatal Intensive Care Unit, OPD-Out Patient Department, COR- Crude Odd’s Ratio, SF-Severe Feature, SIP-Super Imposed Preeclampsia, SPHMMC- St. Paul’s Millennium Medical Collage, GA- gestational age</w:t>
      </w:r>
    </w:p>
    <w:p w:rsidR="002C49A7" w:rsidRDefault="00247361">
      <w:pPr>
        <w:pStyle w:val="Heading1"/>
        <w:spacing w:line="360" w:lineRule="auto"/>
        <w:rPr>
          <w:rFonts w:ascii="Times New Roman" w:hAnsi="Times New Roman" w:cs="Times New Roman"/>
          <w:b/>
          <w:bCs/>
          <w:color w:val="auto"/>
          <w:sz w:val="28"/>
          <w:szCs w:val="28"/>
        </w:rPr>
      </w:pPr>
      <w:bookmarkStart w:id="24" w:name="_Toc13285177"/>
      <w:r>
        <w:rPr>
          <w:rFonts w:ascii="Times New Roman" w:hAnsi="Times New Roman" w:cs="Times New Roman"/>
          <w:b/>
          <w:bCs/>
          <w:color w:val="auto"/>
          <w:sz w:val="28"/>
          <w:szCs w:val="28"/>
        </w:rPr>
        <w:t>Acknowledgements</w:t>
      </w:r>
      <w:bookmarkEnd w:id="24"/>
    </w:p>
    <w:p w:rsidR="002C49A7" w:rsidRDefault="00247361">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We would like to extend our </w:t>
      </w:r>
      <w:proofErr w:type="spellStart"/>
      <w:r>
        <w:rPr>
          <w:rFonts w:ascii="Times New Roman" w:hAnsi="Times New Roman" w:cs="Times New Roman"/>
          <w:sz w:val="24"/>
          <w:szCs w:val="24"/>
        </w:rPr>
        <w:t>heart felt</w:t>
      </w:r>
      <w:proofErr w:type="spellEnd"/>
      <w:r>
        <w:rPr>
          <w:rFonts w:ascii="Times New Roman" w:hAnsi="Times New Roman" w:cs="Times New Roman"/>
          <w:sz w:val="24"/>
          <w:szCs w:val="24"/>
        </w:rPr>
        <w:t xml:space="preserve"> gratitude to interns who helped us in collecting data and our special gratitude also goes to faculty members who helped us by reviewing and giving us valuable comments.</w:t>
      </w:r>
    </w:p>
    <w:p w:rsidR="002C49A7" w:rsidRDefault="00247361">
      <w:pPr>
        <w:spacing w:line="360" w:lineRule="auto"/>
        <w:jc w:val="both"/>
        <w:rPr>
          <w:rFonts w:ascii="Times New Roman" w:hAnsi="Times New Roman" w:cs="Times New Roman"/>
          <w:b/>
          <w:color w:val="333333"/>
          <w:sz w:val="28"/>
          <w:szCs w:val="28"/>
          <w:shd w:val="clear" w:color="auto" w:fill="F9F7F7"/>
        </w:rPr>
      </w:pPr>
      <w:r>
        <w:rPr>
          <w:rFonts w:ascii="Times New Roman" w:hAnsi="Times New Roman" w:cs="Times New Roman"/>
          <w:b/>
          <w:color w:val="333333"/>
          <w:sz w:val="28"/>
          <w:szCs w:val="28"/>
          <w:shd w:val="clear" w:color="auto" w:fill="F9F7F7"/>
        </w:rPr>
        <w:t>References</w:t>
      </w:r>
    </w:p>
    <w:p w:rsidR="002C49A7" w:rsidRDefault="00247361">
      <w:pPr>
        <w:pStyle w:val="EndNoteBibliography"/>
        <w:spacing w:after="0"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tab/>
        <w:t>Ankumah N-AE, Sibai BM. Chronic hypertension in pregnancy: diagnosis, management, and outcomes. Clinical obstetrics and gynecology. 2017;60(1):206-14.</w:t>
      </w:r>
    </w:p>
    <w:p w:rsidR="002C49A7" w:rsidRDefault="00247361">
      <w:pPr>
        <w:pStyle w:val="EndNoteBibliography"/>
        <w:spacing w:after="0" w:line="360" w:lineRule="auto"/>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Moussa HN, Leon MG, Marti A, Chediak A, Pedroza C, Blackwell SC, et al. Pregnancy outcomes in women with preeclampsia superimposed on chronic hypertension with and without severe features. American journal of perinatology. 2017;34(04):403-8.</w:t>
      </w:r>
    </w:p>
    <w:p w:rsidR="002C49A7" w:rsidRDefault="00247361">
      <w:pPr>
        <w:pStyle w:val="EndNoteBibliography"/>
        <w:spacing w:after="0" w:line="36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Bramham K, Villa PM, Joslin JR, Laivuori H, Hämäläinen E, Kajantie E, et al. </w:t>
      </w:r>
      <w:r>
        <w:rPr>
          <w:rFonts w:ascii="Times New Roman" w:hAnsi="Times New Roman" w:cs="Times New Roman"/>
          <w:sz w:val="24"/>
          <w:szCs w:val="24"/>
        </w:rPr>
        <w:lastRenderedPageBreak/>
        <w:t>Predisposition to superimposed preeclampsia in women with chronic hypertension: endothelial, renal, cardiac, and placental factors in a prospective longitudinal cohort. Hypertension in Pregnancy. 2020:1-10.</w:t>
      </w:r>
    </w:p>
    <w:p w:rsidR="002C49A7" w:rsidRDefault="00247361">
      <w:pPr>
        <w:pStyle w:val="EndNoteBibliography"/>
        <w:spacing w:after="0" w:line="360" w:lineRule="auto"/>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Boriboonhirunsarn D, Pradyachaipimol A, Viriyapak B. Incidence of superimposed preeclampsia among pregnant Asian women with chronic hypertension. Hypertension in pregnancy. 2017;36(2):226-31.</w:t>
      </w:r>
    </w:p>
    <w:p w:rsidR="002C49A7" w:rsidRDefault="00247361">
      <w:pPr>
        <w:pStyle w:val="EndNoteBibliography"/>
        <w:spacing w:after="0" w:line="360" w:lineRule="auto"/>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Becker DA, Machemehl HC, Biggio JR, Siegel AM, Tita AT, Harper LM. Pregnancy Outcomes of Exacerbated Chronic Hypertension Compared with Superimposed Preeclampsia. Am J Perinatol. 2018.</w:t>
      </w:r>
    </w:p>
    <w:p w:rsidR="002C49A7" w:rsidRDefault="00247361">
      <w:pPr>
        <w:pStyle w:val="EndNoteBibliography"/>
        <w:spacing w:after="0" w:line="360" w:lineRule="auto"/>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flore Nyaga U, Bigna JJ, Jingi AM, Nansseu JR, Kaze AD, Fokom-Domgue J, et al. A17575 Hypertensive disorders of pregnancy in Africa: a systematic review and meta-analysis. Journal of Hypertension. 2018;36:e250-e1.</w:t>
      </w:r>
    </w:p>
    <w:p w:rsidR="002C49A7" w:rsidRDefault="00247361">
      <w:pPr>
        <w:pStyle w:val="EndNoteBibliography"/>
        <w:spacing w:after="0" w:line="360" w:lineRule="auto"/>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Assefa N, Mengistie B, editors. Prevalence of hypertensive disease of pregnancy and pregnancy outcomes in sub-Saharan Africa: a systemic review and meta-analysis. 30th EPHA Annual Conference; 2019.</w:t>
      </w:r>
    </w:p>
    <w:p w:rsidR="002C49A7" w:rsidRDefault="00247361">
      <w:pPr>
        <w:pStyle w:val="EndNoteBibliography"/>
        <w:spacing w:after="0" w:line="360" w:lineRule="auto"/>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Tesfaye G, Loxton D, Chojenta C, Assefa N, Smith R. Magnitude, trends and causes of maternal mortality among reproductive aged women in Kersa health and demographic surveillance system, eastern Ethiopia. BMC women's health. 2018;18(1):198.</w:t>
      </w:r>
    </w:p>
    <w:p w:rsidR="002C49A7" w:rsidRDefault="00247361">
      <w:pPr>
        <w:pStyle w:val="EndNoteBibliography"/>
        <w:spacing w:after="0" w:line="360" w:lineRule="auto"/>
        <w:rPr>
          <w:rFonts w:ascii="Times New Roman" w:hAnsi="Times New Roman" w:cs="Times New Roman"/>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r>
        <w:rPr>
          <w:rFonts w:ascii="Times New Roman" w:hAnsi="Times New Roman" w:cs="Times New Roman"/>
          <w:sz w:val="24"/>
          <w:szCs w:val="24"/>
        </w:rPr>
        <w:lastRenderedPageBreak/>
        <w:t>9.</w:t>
      </w:r>
      <w:r>
        <w:rPr>
          <w:rFonts w:ascii="Times New Roman" w:hAnsi="Times New Roman" w:cs="Times New Roman"/>
          <w:sz w:val="24"/>
          <w:szCs w:val="24"/>
        </w:rPr>
        <w:tab/>
        <w:t xml:space="preserve">Belay Tolu L, Yigezu E, Urgie T, Feyissa GT. Maternal and perinatal outcome of </w:t>
      </w:r>
      <w:r>
        <w:rPr>
          <w:rFonts w:ascii="Times New Roman" w:hAnsi="Times New Roman" w:cs="Times New Roman"/>
          <w:sz w:val="24"/>
          <w:szCs w:val="24"/>
        </w:rPr>
        <w:lastRenderedPageBreak/>
        <w:t xml:space="preserve">preeclampsia without severe feature among </w:t>
      </w:r>
    </w:p>
    <w:p w:rsidR="002C49A7" w:rsidRDefault="00247361">
      <w:pPr>
        <w:pStyle w:val="EndNoteBibliography"/>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pregnant women managed at a tertiary referral hospital in urban Ethiopia. Plos one. 2020;15(4):e0230638.</w:t>
      </w:r>
    </w:p>
    <w:p w:rsidR="002C49A7" w:rsidRDefault="00247361">
      <w:pPr>
        <w:pStyle w:val="EndNoteBibliography"/>
        <w:spacing w:after="0" w:line="360" w:lineRule="auto"/>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Berhan Y, Endeshaw G. Maternal mortality predictors in women with hypertensive disorders of pregnancy: a retrospective cohort study. Ethiopian journal of health sciences. 2015;25(1):89-98.</w:t>
      </w:r>
    </w:p>
    <w:p w:rsidR="002C49A7" w:rsidRDefault="00247361">
      <w:pPr>
        <w:pStyle w:val="EndNoteBibliography"/>
        <w:spacing w:after="0" w:line="360" w:lineRule="auto"/>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Mekonnen W, Gebremariam A. Causes of maternal death in Ethiopia between 1990 and 2016: systematic review with meta-analysis. Ethiopian Journal of Health Development. 2018;32(4).</w:t>
      </w:r>
    </w:p>
    <w:p w:rsidR="002C49A7" w:rsidRDefault="00247361">
      <w:pPr>
        <w:pStyle w:val="EndNoteBibliography"/>
        <w:spacing w:after="0" w:line="360" w:lineRule="auto"/>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 xml:space="preserve">Tessema GA, Tekeste A, Ayele TA. Preeclampsia and associated factors among </w:t>
      </w:r>
      <w:r>
        <w:rPr>
          <w:rFonts w:ascii="Times New Roman" w:hAnsi="Times New Roman" w:cs="Times New Roman"/>
          <w:sz w:val="24"/>
          <w:szCs w:val="24"/>
        </w:rPr>
        <w:lastRenderedPageBreak/>
        <w:t>pregnant women attending antenatal care in Dessie referral hospital, Northeast Ethiopia: a hospital-based study. BMC pregnancy and childbirth. 2015;15(1):73.</w:t>
      </w:r>
    </w:p>
    <w:p w:rsidR="002C49A7" w:rsidRDefault="00247361">
      <w:pPr>
        <w:pStyle w:val="EndNoteBibliography"/>
        <w:spacing w:after="0" w:line="360" w:lineRule="auto"/>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t>Hoshino A, Obata S, Tochio A, Seki K, Miyagi E, Aoki S. Efficacy of expectant management of severe preeclampsia and preeclampsia superimposed on chronic hypertension before 34 weeks gestation. Pregnancy hypertension. 2019;15:177-80.</w:t>
      </w:r>
    </w:p>
    <w:p w:rsidR="002C49A7" w:rsidRDefault="00247361">
      <w:pPr>
        <w:pStyle w:val="EndNoteBibliography"/>
        <w:spacing w:after="0" w:line="360" w:lineRule="auto"/>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t xml:space="preserve">Becker DA, Machemehl HC, Biggio JR, Siegel AM, Tita AT, Harper LM. Pregnancy </w:t>
      </w:r>
    </w:p>
    <w:p w:rsidR="002C49A7" w:rsidRDefault="00247361">
      <w:pPr>
        <w:pStyle w:val="EndNoteBibliography"/>
        <w:spacing w:after="0" w:line="360" w:lineRule="auto"/>
        <w:rPr>
          <w:rFonts w:ascii="Times New Roman" w:hAnsi="Times New Roman" w:cs="Times New Roman"/>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proofErr w:type="gramStart"/>
      <w:r>
        <w:rPr>
          <w:rFonts w:ascii="Times New Roman" w:hAnsi="Times New Roman" w:cs="Times New Roman"/>
          <w:sz w:val="24"/>
          <w:szCs w:val="24"/>
        </w:rPr>
        <w:t>outcomes</w:t>
      </w:r>
      <w:proofErr w:type="gramEnd"/>
      <w:r>
        <w:rPr>
          <w:rFonts w:ascii="Times New Roman" w:hAnsi="Times New Roman" w:cs="Times New Roman"/>
          <w:sz w:val="24"/>
          <w:szCs w:val="24"/>
        </w:rPr>
        <w:t xml:space="preserve"> of exacerbated chronic hypertension compared </w:t>
      </w:r>
      <w:r w:rsidR="00415E2C">
        <w:rPr>
          <w:rFonts w:ascii="Times New Roman" w:hAnsi="Times New Roman" w:cs="Times New Roman"/>
          <w:sz w:val="24"/>
          <w:szCs w:val="24"/>
        </w:rPr>
        <w:t>with superimposed preeclampsia.</w:t>
      </w:r>
    </w:p>
    <w:p w:rsidR="002C49A7" w:rsidRDefault="00247361">
      <w:pPr>
        <w:pStyle w:val="EndNoteBibliography"/>
        <w:spacing w:after="0" w:line="36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American journal of perinatology.</w:t>
      </w:r>
      <w:proofErr w:type="gramEnd"/>
      <w:r>
        <w:rPr>
          <w:rFonts w:ascii="Times New Roman" w:hAnsi="Times New Roman" w:cs="Times New Roman"/>
          <w:sz w:val="24"/>
          <w:szCs w:val="24"/>
        </w:rPr>
        <w:t xml:space="preserve"> 2019;36(08):872-8.</w:t>
      </w:r>
    </w:p>
    <w:p w:rsidR="002C49A7" w:rsidRDefault="002C49A7">
      <w:pPr>
        <w:pStyle w:val="EndNoteBibliography"/>
        <w:spacing w:after="0" w:line="360" w:lineRule="auto"/>
        <w:rPr>
          <w:rFonts w:ascii="Times New Roman" w:hAnsi="Times New Roman" w:cs="Times New Roman"/>
          <w:sz w:val="24"/>
          <w:szCs w:val="24"/>
        </w:rPr>
      </w:pPr>
    </w:p>
    <w:p w:rsidR="002C49A7" w:rsidRDefault="00247361">
      <w:pPr>
        <w:pStyle w:val="EndNoteBibliography"/>
        <w:spacing w:line="360" w:lineRule="auto"/>
        <w:rPr>
          <w:rFonts w:ascii="Times New Roman" w:hAnsi="Times New Roman" w:cs="Times New Roman"/>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r>
        <w:rPr>
          <w:rFonts w:ascii="Times New Roman" w:hAnsi="Times New Roman" w:cs="Times New Roman"/>
          <w:sz w:val="24"/>
          <w:szCs w:val="24"/>
        </w:rPr>
        <w:lastRenderedPageBreak/>
        <w:t>15.</w:t>
      </w:r>
      <w:r>
        <w:rPr>
          <w:rFonts w:ascii="Times New Roman" w:hAnsi="Times New Roman" w:cs="Times New Roman"/>
          <w:sz w:val="24"/>
          <w:szCs w:val="24"/>
        </w:rPr>
        <w:tab/>
        <w:t>Simsek A, Uludag S, Tuten A, Uludag S. Maternal and perinatal outcomes in women with chronic hypertension and risk factors of superimposed preeclampsia. HJOG. 2017;15(4).</w:t>
      </w:r>
    </w:p>
    <w:p w:rsidR="002C49A7" w:rsidRDefault="002C49A7">
      <w:pPr>
        <w:pStyle w:val="EndNoteBibliography"/>
        <w:spacing w:line="360" w:lineRule="auto"/>
        <w:rPr>
          <w:rFonts w:ascii="Times New Roman" w:hAnsi="Times New Roman" w:cs="Times New Roman"/>
          <w:sz w:val="24"/>
          <w:szCs w:val="24"/>
        </w:rPr>
      </w:pPr>
    </w:p>
    <w:p w:rsidR="002C49A7" w:rsidRDefault="002C49A7">
      <w:pPr>
        <w:pStyle w:val="EndNoteBibliography"/>
        <w:spacing w:after="0" w:line="360" w:lineRule="auto"/>
        <w:rPr>
          <w:rFonts w:ascii="Times New Roman" w:hAnsi="Times New Roman" w:cs="Times New Roman"/>
          <w:sz w:val="24"/>
          <w:szCs w:val="24"/>
        </w:rPr>
        <w:sectPr w:rsidR="002C49A7">
          <w:type w:val="continuous"/>
          <w:pgSz w:w="12240" w:h="15840"/>
          <w:pgMar w:top="1440" w:right="1080" w:bottom="1440" w:left="1080" w:header="720" w:footer="720" w:gutter="0"/>
          <w:cols w:num="2" w:space="720" w:equalWidth="0">
            <w:col w:w="4827" w:space="425"/>
            <w:col w:w="4827"/>
          </w:cols>
          <w:docGrid w:linePitch="360"/>
        </w:sectPr>
      </w:pPr>
      <w:bookmarkStart w:id="25" w:name="_GoBack"/>
      <w:bookmarkEnd w:id="25"/>
    </w:p>
    <w:p w:rsidR="002C49A7" w:rsidRDefault="002C49A7">
      <w:pPr>
        <w:pStyle w:val="EndNoteBibliography"/>
        <w:spacing w:after="0" w:line="360" w:lineRule="auto"/>
        <w:rPr>
          <w:rFonts w:ascii="Times New Roman" w:hAnsi="Times New Roman" w:cs="Times New Roman"/>
          <w:sz w:val="24"/>
          <w:szCs w:val="24"/>
        </w:rPr>
      </w:pPr>
    </w:p>
    <w:p w:rsidR="002C49A7" w:rsidRDefault="00247361">
      <w:pPr>
        <w:spacing w:line="360" w:lineRule="auto"/>
        <w:jc w:val="both"/>
        <w:rPr>
          <w:rFonts w:ascii="Times New Roman" w:hAnsi="Times New Roman" w:cs="Times New Roman"/>
          <w:sz w:val="24"/>
          <w:szCs w:val="24"/>
        </w:rPr>
        <w:sectPr w:rsidR="002C49A7">
          <w:pgSz w:w="12240" w:h="15840"/>
          <w:pgMar w:top="1440" w:right="1080" w:bottom="1440" w:left="1080" w:header="720" w:footer="720" w:gutter="0"/>
          <w:cols w:num="2" w:space="720" w:equalWidth="0">
            <w:col w:w="4827" w:space="425"/>
            <w:col w:w="4827"/>
          </w:cols>
          <w:docGrid w:linePitch="360"/>
        </w:sectPr>
      </w:pPr>
      <w:r>
        <w:rPr>
          <w:rFonts w:ascii="Times New Roman" w:hAnsi="Times New Roman" w:cs="Times New Roman"/>
          <w:sz w:val="24"/>
          <w:szCs w:val="24"/>
        </w:rPr>
        <w:fldChar w:fldCharType="end"/>
      </w:r>
    </w:p>
    <w:p w:rsidR="002C49A7" w:rsidRDefault="002C49A7">
      <w:pPr>
        <w:spacing w:line="360" w:lineRule="auto"/>
        <w:jc w:val="both"/>
        <w:rPr>
          <w:rFonts w:ascii="Times New Roman" w:hAnsi="Times New Roman" w:cs="Times New Roman"/>
          <w:sz w:val="24"/>
          <w:szCs w:val="24"/>
        </w:rPr>
      </w:pPr>
    </w:p>
    <w:p w:rsidR="002C49A7" w:rsidRDefault="002C49A7">
      <w:pPr>
        <w:spacing w:line="360" w:lineRule="auto"/>
        <w:jc w:val="both"/>
        <w:rPr>
          <w:rFonts w:ascii="Times New Roman" w:hAnsi="Times New Roman" w:cs="Times New Roman"/>
          <w:sz w:val="24"/>
          <w:szCs w:val="24"/>
        </w:rPr>
      </w:pPr>
    </w:p>
    <w:p w:rsidR="002C49A7" w:rsidRDefault="002C49A7">
      <w:pPr>
        <w:tabs>
          <w:tab w:val="left" w:pos="-2520"/>
        </w:tabs>
        <w:overflowPunct w:val="0"/>
        <w:autoSpaceDE w:val="0"/>
        <w:autoSpaceDN w:val="0"/>
        <w:adjustRightInd w:val="0"/>
        <w:spacing w:after="0" w:line="360" w:lineRule="auto"/>
        <w:rPr>
          <w:b/>
          <w:sz w:val="24"/>
          <w:szCs w:val="24"/>
        </w:rPr>
        <w:sectPr w:rsidR="002C49A7">
          <w:footerReference w:type="default" r:id="rId16"/>
          <w:type w:val="continuous"/>
          <w:pgSz w:w="12240" w:h="15840"/>
          <w:pgMar w:top="1440" w:right="1080" w:bottom="1440" w:left="1080" w:header="720" w:footer="720" w:gutter="0"/>
          <w:cols w:num="2" w:space="720" w:equalWidth="0">
            <w:col w:w="4827" w:space="425"/>
            <w:col w:w="4827"/>
          </w:cols>
          <w:docGrid w:linePitch="360"/>
        </w:sectPr>
      </w:pPr>
    </w:p>
    <w:tbl>
      <w:tblPr>
        <w:tblW w:w="936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60"/>
      </w:tblGrid>
      <w:tr w:rsidR="002C49A7">
        <w:tc>
          <w:tcPr>
            <w:tcW w:w="9360" w:type="dxa"/>
            <w:tcBorders>
              <w:top w:val="single" w:sz="6" w:space="0" w:color="auto"/>
              <w:left w:val="single" w:sz="6" w:space="0" w:color="auto"/>
              <w:bottom w:val="single" w:sz="6" w:space="0" w:color="auto"/>
              <w:right w:val="single" w:sz="6" w:space="0" w:color="auto"/>
            </w:tcBorders>
            <w:shd w:val="clear" w:color="auto" w:fill="auto"/>
          </w:tcPr>
          <w:p w:rsidR="002C49A7" w:rsidRDefault="002C49A7">
            <w:pPr>
              <w:tabs>
                <w:tab w:val="left" w:pos="-2520"/>
              </w:tabs>
              <w:overflowPunct w:val="0"/>
              <w:autoSpaceDE w:val="0"/>
              <w:autoSpaceDN w:val="0"/>
              <w:adjustRightInd w:val="0"/>
              <w:spacing w:after="0" w:line="360" w:lineRule="auto"/>
              <w:rPr>
                <w:b/>
                <w:sz w:val="24"/>
                <w:szCs w:val="24"/>
              </w:rPr>
            </w:pPr>
          </w:p>
          <w:p w:rsidR="002C49A7" w:rsidRDefault="00247361">
            <w:pPr>
              <w:tabs>
                <w:tab w:val="left" w:pos="-2520"/>
              </w:tabs>
              <w:overflowPunct w:val="0"/>
              <w:autoSpaceDE w:val="0"/>
              <w:autoSpaceDN w:val="0"/>
              <w:adjustRightInd w:val="0"/>
              <w:spacing w:after="0" w:line="360" w:lineRule="auto"/>
              <w:rPr>
                <w:b/>
                <w:sz w:val="24"/>
                <w:szCs w:val="24"/>
              </w:rPr>
            </w:pPr>
            <w:r>
              <w:rPr>
                <w:rFonts w:ascii="Times New Roman" w:eastAsia="Times New Roman" w:hAnsi="Times New Roman" w:cs="Times New Roman"/>
                <w:b/>
                <w:sz w:val="24"/>
                <w:szCs w:val="24"/>
                <w:lang w:eastAsia="zh-CN"/>
              </w:rPr>
              <w:t xml:space="preserve">ASSURANCE OF PRINCIPAL INVESTIGATOR </w:t>
            </w:r>
          </w:p>
          <w:p w:rsidR="002C49A7" w:rsidRDefault="00247361">
            <w:pPr>
              <w:tabs>
                <w:tab w:val="left" w:pos="-2520"/>
              </w:tabs>
              <w:overflowPunct w:val="0"/>
              <w:autoSpaceDE w:val="0"/>
              <w:autoSpaceDN w:val="0"/>
              <w:adjustRightInd w:val="0"/>
              <w:spacing w:after="0" w:line="360" w:lineRule="auto"/>
              <w:rPr>
                <w:b/>
                <w:sz w:val="24"/>
                <w:szCs w:val="24"/>
              </w:rPr>
            </w:pPr>
            <w:r>
              <w:rPr>
                <w:rFonts w:ascii="Times New Roman" w:eastAsia="Times New Roman" w:hAnsi="Times New Roman" w:cs="Times New Roman"/>
                <w:sz w:val="24"/>
                <w:szCs w:val="20"/>
                <w:lang w:eastAsia="zh-CN"/>
              </w:rPr>
              <w:t>The undersigned agrees to accept responsibility for the scientific ethical and technical</w:t>
            </w:r>
          </w:p>
          <w:p w:rsidR="002C49A7" w:rsidRDefault="00247361">
            <w:pPr>
              <w:tabs>
                <w:tab w:val="left" w:pos="-2520"/>
                <w:tab w:val="left" w:pos="612"/>
              </w:tabs>
              <w:overflowPunct w:val="0"/>
              <w:autoSpaceDE w:val="0"/>
              <w:autoSpaceDN w:val="0"/>
              <w:adjustRightInd w:val="0"/>
              <w:spacing w:after="0" w:line="360" w:lineRule="auto"/>
              <w:rPr>
                <w:sz w:val="24"/>
                <w:szCs w:val="20"/>
              </w:rPr>
            </w:pPr>
            <w:r>
              <w:rPr>
                <w:rFonts w:ascii="Times New Roman" w:eastAsia="Times New Roman" w:hAnsi="Times New Roman" w:cs="Times New Roman"/>
                <w:sz w:val="24"/>
                <w:szCs w:val="20"/>
                <w:lang w:eastAsia="zh-CN"/>
              </w:rPr>
              <w:t>conduct of the research manuscript and for provision of  required progress reports as</w:t>
            </w:r>
          </w:p>
          <w:p w:rsidR="002C49A7" w:rsidRDefault="00247361">
            <w:pPr>
              <w:tabs>
                <w:tab w:val="left" w:pos="-2520"/>
                <w:tab w:val="left" w:pos="612"/>
              </w:tabs>
              <w:overflowPunct w:val="0"/>
              <w:autoSpaceDE w:val="0"/>
              <w:autoSpaceDN w:val="0"/>
              <w:adjustRightInd w:val="0"/>
              <w:spacing w:after="0" w:line="360" w:lineRule="auto"/>
              <w:rPr>
                <w:sz w:val="24"/>
                <w:szCs w:val="20"/>
              </w:rPr>
            </w:pPr>
            <w:proofErr w:type="gramStart"/>
            <w:r>
              <w:rPr>
                <w:rFonts w:ascii="Times New Roman" w:eastAsia="Times New Roman" w:hAnsi="Times New Roman" w:cs="Times New Roman"/>
                <w:sz w:val="24"/>
                <w:szCs w:val="20"/>
                <w:lang w:eastAsia="zh-CN"/>
              </w:rPr>
              <w:t>per</w:t>
            </w:r>
            <w:proofErr w:type="gramEnd"/>
            <w:r>
              <w:rPr>
                <w:rFonts w:ascii="Times New Roman" w:eastAsia="Times New Roman" w:hAnsi="Times New Roman" w:cs="Times New Roman"/>
                <w:sz w:val="24"/>
                <w:szCs w:val="20"/>
                <w:lang w:eastAsia="zh-CN"/>
              </w:rPr>
              <w:t xml:space="preserve"> terms and conditions of the St Paul’s Hospital and Millennium Medical College  in effect at the time of  grant is forwarded as the result of this application.</w:t>
            </w:r>
          </w:p>
          <w:p w:rsidR="002C49A7" w:rsidRDefault="00247361">
            <w:pPr>
              <w:tabs>
                <w:tab w:val="left" w:pos="-2520"/>
              </w:tabs>
              <w:overflowPunct w:val="0"/>
              <w:autoSpaceDE w:val="0"/>
              <w:autoSpaceDN w:val="0"/>
              <w:adjustRightInd w:val="0"/>
              <w:spacing w:after="0" w:line="360" w:lineRule="auto"/>
              <w:rPr>
                <w:sz w:val="24"/>
                <w:szCs w:val="20"/>
              </w:rPr>
            </w:pPr>
            <w:r>
              <w:rPr>
                <w:rFonts w:ascii="Times New Roman" w:eastAsia="Times New Roman" w:hAnsi="Times New Roman" w:cs="Times New Roman"/>
                <w:sz w:val="24"/>
                <w:szCs w:val="20"/>
                <w:lang w:eastAsia="zh-CN"/>
              </w:rPr>
              <w:t xml:space="preserve">   </w:t>
            </w:r>
          </w:p>
          <w:p w:rsidR="002C49A7" w:rsidRDefault="00247361">
            <w:pPr>
              <w:tabs>
                <w:tab w:val="left" w:pos="-2520"/>
              </w:tabs>
              <w:overflowPunct w:val="0"/>
              <w:autoSpaceDE w:val="0"/>
              <w:autoSpaceDN w:val="0"/>
              <w:adjustRightInd w:val="0"/>
              <w:spacing w:after="0" w:line="360" w:lineRule="auto"/>
              <w:rPr>
                <w:sz w:val="24"/>
                <w:szCs w:val="20"/>
              </w:rPr>
            </w:pPr>
            <w:r>
              <w:rPr>
                <w:rFonts w:ascii="Times New Roman" w:eastAsia="Times New Roman" w:hAnsi="Times New Roman" w:cs="Times New Roman"/>
                <w:sz w:val="24"/>
                <w:szCs w:val="20"/>
                <w:lang w:eastAsia="zh-CN"/>
              </w:rPr>
              <w:t xml:space="preserve">   Name of the student:   </w:t>
            </w:r>
            <w:proofErr w:type="spellStart"/>
            <w:r>
              <w:rPr>
                <w:rFonts w:ascii="Times New Roman" w:eastAsia="Times New Roman" w:hAnsi="Times New Roman" w:cs="Times New Roman"/>
                <w:sz w:val="24"/>
                <w:szCs w:val="20"/>
                <w:u w:val="single"/>
                <w:lang w:eastAsia="zh-CN"/>
              </w:rPr>
              <w:t>Berhanu</w:t>
            </w:r>
            <w:proofErr w:type="spellEnd"/>
            <w:r>
              <w:rPr>
                <w:rFonts w:ascii="Times New Roman" w:eastAsia="Times New Roman" w:hAnsi="Times New Roman" w:cs="Times New Roman"/>
                <w:sz w:val="24"/>
                <w:szCs w:val="20"/>
                <w:u w:val="single"/>
                <w:lang w:eastAsia="zh-CN"/>
              </w:rPr>
              <w:t xml:space="preserve"> </w:t>
            </w:r>
            <w:proofErr w:type="spellStart"/>
            <w:r>
              <w:rPr>
                <w:rFonts w:ascii="Times New Roman" w:eastAsia="Times New Roman" w:hAnsi="Times New Roman" w:cs="Times New Roman"/>
                <w:sz w:val="24"/>
                <w:szCs w:val="20"/>
                <w:u w:val="single"/>
                <w:lang w:eastAsia="zh-CN"/>
              </w:rPr>
              <w:t>Sebok</w:t>
            </w:r>
            <w:r>
              <w:rPr>
                <w:rFonts w:ascii="Times New Roman" w:eastAsia="Times New Roman" w:hAnsi="Times New Roman" w:cs="Times New Roman"/>
                <w:sz w:val="24"/>
                <w:szCs w:val="20"/>
                <w:lang w:eastAsia="zh-CN"/>
              </w:rPr>
              <w:t>a</w:t>
            </w:r>
            <w:proofErr w:type="spellEnd"/>
            <w:r>
              <w:rPr>
                <w:rFonts w:ascii="Times New Roman" w:eastAsia="Times New Roman" w:hAnsi="Times New Roman" w:cs="Times New Roman"/>
                <w:sz w:val="24"/>
                <w:szCs w:val="20"/>
                <w:lang w:eastAsia="zh-CN"/>
              </w:rPr>
              <w:t>___________________________________</w:t>
            </w:r>
          </w:p>
          <w:p w:rsidR="002C49A7" w:rsidRDefault="002C49A7">
            <w:pPr>
              <w:tabs>
                <w:tab w:val="left" w:pos="-2520"/>
              </w:tabs>
              <w:overflowPunct w:val="0"/>
              <w:autoSpaceDE w:val="0"/>
              <w:autoSpaceDN w:val="0"/>
              <w:adjustRightInd w:val="0"/>
              <w:spacing w:after="0" w:line="360" w:lineRule="auto"/>
              <w:rPr>
                <w:sz w:val="24"/>
                <w:szCs w:val="20"/>
              </w:rPr>
            </w:pPr>
          </w:p>
          <w:p w:rsidR="002C49A7" w:rsidRDefault="00247361">
            <w:pPr>
              <w:tabs>
                <w:tab w:val="left" w:pos="-2520"/>
              </w:tabs>
              <w:overflowPunct w:val="0"/>
              <w:autoSpaceDE w:val="0"/>
              <w:autoSpaceDN w:val="0"/>
              <w:adjustRightInd w:val="0"/>
              <w:spacing w:after="0" w:line="360" w:lineRule="auto"/>
              <w:rPr>
                <w:sz w:val="24"/>
                <w:szCs w:val="20"/>
              </w:rPr>
            </w:pPr>
            <w:r>
              <w:rPr>
                <w:rFonts w:ascii="Times New Roman" w:eastAsia="Times New Roman" w:hAnsi="Times New Roman" w:cs="Times New Roman"/>
                <w:sz w:val="24"/>
                <w:szCs w:val="20"/>
                <w:lang w:eastAsia="zh-CN"/>
              </w:rPr>
              <w:t xml:space="preserve">   Date.____________________              Signature _________________    </w:t>
            </w:r>
          </w:p>
          <w:p w:rsidR="002C49A7" w:rsidRDefault="002C49A7">
            <w:pPr>
              <w:tabs>
                <w:tab w:val="left" w:pos="-2520"/>
              </w:tabs>
              <w:overflowPunct w:val="0"/>
              <w:autoSpaceDE w:val="0"/>
              <w:autoSpaceDN w:val="0"/>
              <w:adjustRightInd w:val="0"/>
              <w:spacing w:after="0" w:line="360" w:lineRule="auto"/>
              <w:rPr>
                <w:sz w:val="24"/>
                <w:szCs w:val="20"/>
              </w:rPr>
            </w:pPr>
          </w:p>
          <w:p w:rsidR="002C49A7" w:rsidRDefault="002C49A7">
            <w:pPr>
              <w:tabs>
                <w:tab w:val="left" w:pos="-2520"/>
              </w:tabs>
              <w:overflowPunct w:val="0"/>
              <w:autoSpaceDE w:val="0"/>
              <w:autoSpaceDN w:val="0"/>
              <w:adjustRightInd w:val="0"/>
              <w:spacing w:after="0" w:line="360" w:lineRule="auto"/>
              <w:rPr>
                <w:sz w:val="24"/>
                <w:szCs w:val="20"/>
              </w:rPr>
            </w:pPr>
          </w:p>
        </w:tc>
      </w:tr>
      <w:tr w:rsidR="002C49A7">
        <w:tc>
          <w:tcPr>
            <w:tcW w:w="9360" w:type="dxa"/>
            <w:tcBorders>
              <w:top w:val="single" w:sz="6" w:space="0" w:color="auto"/>
              <w:left w:val="single" w:sz="6" w:space="0" w:color="auto"/>
              <w:bottom w:val="single" w:sz="6" w:space="0" w:color="auto"/>
              <w:right w:val="single" w:sz="6" w:space="0" w:color="auto"/>
            </w:tcBorders>
            <w:shd w:val="clear" w:color="auto" w:fill="auto"/>
          </w:tcPr>
          <w:p w:rsidR="002C49A7" w:rsidRDefault="002C49A7">
            <w:pPr>
              <w:tabs>
                <w:tab w:val="left" w:pos="-2520"/>
              </w:tabs>
              <w:overflowPunct w:val="0"/>
              <w:autoSpaceDE w:val="0"/>
              <w:autoSpaceDN w:val="0"/>
              <w:adjustRightInd w:val="0"/>
              <w:spacing w:after="0" w:line="360" w:lineRule="auto"/>
              <w:rPr>
                <w:rFonts w:ascii="Times New Roman" w:eastAsia="Times New Roman" w:hAnsi="Times New Roman" w:cs="Times New Roman"/>
                <w:b/>
                <w:sz w:val="24"/>
                <w:szCs w:val="24"/>
                <w:lang w:eastAsia="zh-CN"/>
              </w:rPr>
            </w:pPr>
          </w:p>
          <w:p w:rsidR="002C49A7" w:rsidRDefault="002C49A7">
            <w:pPr>
              <w:tabs>
                <w:tab w:val="left" w:pos="-2520"/>
              </w:tabs>
              <w:overflowPunct w:val="0"/>
              <w:autoSpaceDE w:val="0"/>
              <w:autoSpaceDN w:val="0"/>
              <w:adjustRightInd w:val="0"/>
              <w:spacing w:after="0" w:line="360" w:lineRule="auto"/>
              <w:rPr>
                <w:rFonts w:ascii="Times New Roman" w:eastAsia="Times New Roman" w:hAnsi="Times New Roman" w:cs="Times New Roman"/>
                <w:b/>
                <w:sz w:val="24"/>
                <w:szCs w:val="24"/>
                <w:lang w:eastAsia="zh-CN"/>
              </w:rPr>
            </w:pPr>
          </w:p>
          <w:p w:rsidR="002C49A7" w:rsidRDefault="00247361">
            <w:pPr>
              <w:tabs>
                <w:tab w:val="left" w:pos="-2520"/>
              </w:tabs>
              <w:overflowPunct w:val="0"/>
              <w:autoSpaceDE w:val="0"/>
              <w:autoSpaceDN w:val="0"/>
              <w:adjustRightInd w:val="0"/>
              <w:spacing w:after="0" w:line="360" w:lineRule="auto"/>
              <w:rPr>
                <w:sz w:val="24"/>
                <w:szCs w:val="24"/>
              </w:rPr>
            </w:pPr>
            <w:r>
              <w:rPr>
                <w:rFonts w:ascii="Times New Roman" w:eastAsia="Times New Roman" w:hAnsi="Times New Roman" w:cs="Times New Roman"/>
                <w:b/>
                <w:sz w:val="24"/>
                <w:szCs w:val="24"/>
                <w:lang w:eastAsia="zh-CN"/>
              </w:rPr>
              <w:t>APPROVAL OF THE FIRST ADVISOR</w:t>
            </w:r>
          </w:p>
          <w:p w:rsidR="002C49A7" w:rsidRDefault="00247361">
            <w:pPr>
              <w:tabs>
                <w:tab w:val="left" w:pos="-2520"/>
              </w:tabs>
              <w:overflowPunct w:val="0"/>
              <w:autoSpaceDE w:val="0"/>
              <w:autoSpaceDN w:val="0"/>
              <w:adjustRightInd w:val="0"/>
              <w:spacing w:after="0" w:line="360" w:lineRule="auto"/>
              <w:rPr>
                <w:sz w:val="24"/>
                <w:szCs w:val="20"/>
              </w:rPr>
            </w:pPr>
            <w:r>
              <w:rPr>
                <w:rFonts w:ascii="Times New Roman" w:eastAsia="Times New Roman" w:hAnsi="Times New Roman" w:cs="Times New Roman"/>
                <w:sz w:val="24"/>
                <w:szCs w:val="20"/>
                <w:lang w:eastAsia="zh-CN"/>
              </w:rPr>
              <w:t xml:space="preserve">   </w:t>
            </w:r>
          </w:p>
          <w:p w:rsidR="002C49A7" w:rsidRDefault="00247361">
            <w:pPr>
              <w:tabs>
                <w:tab w:val="left" w:pos="-2520"/>
              </w:tabs>
              <w:overflowPunct w:val="0"/>
              <w:autoSpaceDE w:val="0"/>
              <w:autoSpaceDN w:val="0"/>
              <w:adjustRightInd w:val="0"/>
              <w:spacing w:after="0" w:line="360" w:lineRule="auto"/>
              <w:rPr>
                <w:sz w:val="24"/>
                <w:szCs w:val="20"/>
              </w:rPr>
            </w:pPr>
            <w:r>
              <w:rPr>
                <w:rFonts w:ascii="Times New Roman" w:eastAsia="Times New Roman" w:hAnsi="Times New Roman" w:cs="Times New Roman"/>
                <w:sz w:val="24"/>
                <w:szCs w:val="20"/>
                <w:lang w:eastAsia="zh-CN"/>
              </w:rPr>
              <w:t xml:space="preserve">Name of the first Advisor :     </w:t>
            </w:r>
            <w:proofErr w:type="spellStart"/>
            <w:r>
              <w:rPr>
                <w:rFonts w:ascii="Times New Roman" w:eastAsia="Times New Roman" w:hAnsi="Times New Roman" w:cs="Times New Roman"/>
                <w:sz w:val="24"/>
                <w:szCs w:val="20"/>
                <w:u w:val="single"/>
                <w:lang w:eastAsia="zh-CN"/>
              </w:rPr>
              <w:t>Dr</w:t>
            </w:r>
            <w:proofErr w:type="spellEnd"/>
            <w:r>
              <w:rPr>
                <w:rFonts w:ascii="Times New Roman" w:eastAsia="Times New Roman" w:hAnsi="Times New Roman" w:cs="Times New Roman"/>
                <w:sz w:val="24"/>
                <w:szCs w:val="20"/>
                <w:u w:val="single"/>
                <w:lang w:eastAsia="zh-CN"/>
              </w:rPr>
              <w:t xml:space="preserve"> </w:t>
            </w:r>
            <w:proofErr w:type="spellStart"/>
            <w:r>
              <w:rPr>
                <w:rFonts w:ascii="Times New Roman" w:eastAsia="Times New Roman" w:hAnsi="Times New Roman" w:cs="Times New Roman"/>
                <w:sz w:val="24"/>
                <w:szCs w:val="20"/>
                <w:u w:val="single"/>
                <w:lang w:eastAsia="zh-CN"/>
              </w:rPr>
              <w:t>Ayalew</w:t>
            </w:r>
            <w:proofErr w:type="spellEnd"/>
            <w:r>
              <w:rPr>
                <w:rFonts w:ascii="Times New Roman" w:eastAsia="Times New Roman" w:hAnsi="Times New Roman" w:cs="Times New Roman"/>
                <w:sz w:val="24"/>
                <w:szCs w:val="20"/>
                <w:u w:val="single"/>
                <w:lang w:eastAsia="zh-CN"/>
              </w:rPr>
              <w:t xml:space="preserve"> </w:t>
            </w:r>
            <w:proofErr w:type="spellStart"/>
            <w:r>
              <w:rPr>
                <w:rFonts w:ascii="Times New Roman" w:eastAsia="Times New Roman" w:hAnsi="Times New Roman" w:cs="Times New Roman"/>
                <w:sz w:val="24"/>
                <w:szCs w:val="20"/>
                <w:u w:val="single"/>
                <w:lang w:eastAsia="zh-CN"/>
              </w:rPr>
              <w:t>Marye</w:t>
            </w:r>
            <w:proofErr w:type="spellEnd"/>
            <w:r>
              <w:rPr>
                <w:rFonts w:ascii="Times New Roman" w:eastAsia="Times New Roman" w:hAnsi="Times New Roman" w:cs="Times New Roman"/>
                <w:sz w:val="24"/>
                <w:szCs w:val="20"/>
                <w:lang w:eastAsia="zh-CN"/>
              </w:rPr>
              <w:t>_________________________</w:t>
            </w:r>
          </w:p>
          <w:p w:rsidR="002C49A7" w:rsidRDefault="002C49A7">
            <w:pPr>
              <w:tabs>
                <w:tab w:val="left" w:pos="-2520"/>
              </w:tabs>
              <w:overflowPunct w:val="0"/>
              <w:autoSpaceDE w:val="0"/>
              <w:autoSpaceDN w:val="0"/>
              <w:adjustRightInd w:val="0"/>
              <w:spacing w:after="0" w:line="360" w:lineRule="auto"/>
              <w:rPr>
                <w:sz w:val="24"/>
                <w:szCs w:val="20"/>
              </w:rPr>
            </w:pPr>
          </w:p>
          <w:p w:rsidR="002C49A7" w:rsidRDefault="00247361">
            <w:pPr>
              <w:tabs>
                <w:tab w:val="left" w:pos="-2520"/>
              </w:tabs>
              <w:overflowPunct w:val="0"/>
              <w:autoSpaceDE w:val="0"/>
              <w:autoSpaceDN w:val="0"/>
              <w:adjustRightInd w:val="0"/>
              <w:spacing w:after="0" w:line="360" w:lineRule="auto"/>
              <w:rPr>
                <w:sz w:val="24"/>
                <w:szCs w:val="20"/>
              </w:rPr>
            </w:pPr>
            <w:r>
              <w:rPr>
                <w:rFonts w:ascii="Times New Roman" w:eastAsia="Times New Roman" w:hAnsi="Times New Roman" w:cs="Times New Roman"/>
                <w:sz w:val="24"/>
                <w:szCs w:val="20"/>
                <w:lang w:eastAsia="zh-CN"/>
              </w:rPr>
              <w:t xml:space="preserve">Date.____________________              Signature _________________    </w:t>
            </w:r>
          </w:p>
          <w:p w:rsidR="002C49A7" w:rsidRDefault="002C49A7">
            <w:pPr>
              <w:tabs>
                <w:tab w:val="left" w:pos="-2520"/>
              </w:tabs>
              <w:overflowPunct w:val="0"/>
              <w:autoSpaceDE w:val="0"/>
              <w:autoSpaceDN w:val="0"/>
              <w:adjustRightInd w:val="0"/>
              <w:spacing w:after="0" w:line="360" w:lineRule="auto"/>
              <w:rPr>
                <w:sz w:val="24"/>
                <w:szCs w:val="20"/>
              </w:rPr>
            </w:pPr>
          </w:p>
          <w:p w:rsidR="002C49A7" w:rsidRDefault="002C49A7">
            <w:pPr>
              <w:tabs>
                <w:tab w:val="left" w:pos="-2520"/>
              </w:tabs>
              <w:overflowPunct w:val="0"/>
              <w:autoSpaceDE w:val="0"/>
              <w:autoSpaceDN w:val="0"/>
              <w:adjustRightInd w:val="0"/>
              <w:spacing w:after="0" w:line="360" w:lineRule="auto"/>
              <w:rPr>
                <w:sz w:val="24"/>
                <w:szCs w:val="20"/>
              </w:rPr>
            </w:pPr>
          </w:p>
          <w:p w:rsidR="002C49A7" w:rsidRDefault="002C49A7">
            <w:pPr>
              <w:tabs>
                <w:tab w:val="left" w:pos="-2520"/>
              </w:tabs>
              <w:overflowPunct w:val="0"/>
              <w:autoSpaceDE w:val="0"/>
              <w:autoSpaceDN w:val="0"/>
              <w:adjustRightInd w:val="0"/>
              <w:spacing w:after="0" w:line="360" w:lineRule="auto"/>
              <w:rPr>
                <w:sz w:val="24"/>
                <w:szCs w:val="20"/>
              </w:rPr>
            </w:pPr>
          </w:p>
          <w:p w:rsidR="002C49A7" w:rsidRDefault="002C49A7">
            <w:pPr>
              <w:tabs>
                <w:tab w:val="left" w:pos="-2520"/>
              </w:tabs>
              <w:overflowPunct w:val="0"/>
              <w:autoSpaceDE w:val="0"/>
              <w:autoSpaceDN w:val="0"/>
              <w:adjustRightInd w:val="0"/>
              <w:spacing w:after="0" w:line="360" w:lineRule="auto"/>
              <w:rPr>
                <w:sz w:val="24"/>
                <w:szCs w:val="20"/>
              </w:rPr>
            </w:pPr>
          </w:p>
          <w:p w:rsidR="002C49A7" w:rsidRDefault="002C49A7">
            <w:pPr>
              <w:tabs>
                <w:tab w:val="left" w:pos="-2520"/>
              </w:tabs>
              <w:overflowPunct w:val="0"/>
              <w:autoSpaceDE w:val="0"/>
              <w:autoSpaceDN w:val="0"/>
              <w:adjustRightInd w:val="0"/>
              <w:spacing w:after="0" w:line="360" w:lineRule="auto"/>
              <w:rPr>
                <w:sz w:val="24"/>
                <w:szCs w:val="20"/>
              </w:rPr>
            </w:pPr>
          </w:p>
          <w:p w:rsidR="002C49A7" w:rsidRDefault="002C49A7">
            <w:pPr>
              <w:tabs>
                <w:tab w:val="left" w:pos="-2520"/>
              </w:tabs>
              <w:overflowPunct w:val="0"/>
              <w:autoSpaceDE w:val="0"/>
              <w:autoSpaceDN w:val="0"/>
              <w:adjustRightInd w:val="0"/>
              <w:spacing w:after="0" w:line="360" w:lineRule="auto"/>
              <w:rPr>
                <w:sz w:val="24"/>
                <w:szCs w:val="20"/>
              </w:rPr>
            </w:pPr>
          </w:p>
        </w:tc>
      </w:tr>
    </w:tbl>
    <w:p w:rsidR="002C49A7" w:rsidRDefault="002C49A7">
      <w:pPr>
        <w:spacing w:line="360" w:lineRule="auto"/>
        <w:jc w:val="both"/>
        <w:rPr>
          <w:rFonts w:ascii="Times New Roman" w:hAnsi="Times New Roman" w:cs="Times New Roman"/>
          <w:sz w:val="24"/>
          <w:szCs w:val="24"/>
        </w:rPr>
      </w:pPr>
    </w:p>
    <w:sectPr w:rsidR="002C49A7">
      <w:footerReference w:type="default" r:id="rId17"/>
      <w:type w:val="continuous"/>
      <w:pgSz w:w="12240" w:h="15840"/>
      <w:pgMar w:top="1440" w:right="1080" w:bottom="1440" w:left="1080" w:header="720" w:footer="720"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FDA" w:rsidRDefault="00247361">
      <w:pPr>
        <w:spacing w:after="0" w:line="240" w:lineRule="auto"/>
      </w:pPr>
      <w:r>
        <w:separator/>
      </w:r>
    </w:p>
  </w:endnote>
  <w:endnote w:type="continuationSeparator" w:id="0">
    <w:p w:rsidR="004A4FDA" w:rsidRDefault="00247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Times New Roman"/>
    <w:charset w:val="00"/>
    <w:family w:val="swiss"/>
    <w:pitch w:val="default"/>
    <w:sig w:usb0="00000000" w:usb1="C000247B" w:usb2="00000009" w:usb3="00000000" w:csb0="200001FF" w:csb1="00000000"/>
  </w:font>
  <w:font w:name="等线 Light">
    <w:altName w:val="Segoe Print"/>
    <w:charset w:val="00"/>
    <w:family w:val="auto"/>
    <w:pitch w:val="default"/>
  </w:font>
  <w:font w:name="等线">
    <w:altName w:val="Arial Unicode MS"/>
    <w:charset w:val="00"/>
    <w:family w:val="auto"/>
    <w:pitch w:val="default"/>
  </w:font>
  <w:font w:name="Tahoma">
    <w:panose1 w:val="020B0604030504040204"/>
    <w:charset w:val="00"/>
    <w:family w:val="swiss"/>
    <w:pitch w:val="variable"/>
    <w:sig w:usb0="E1002EFF" w:usb1="C000605B" w:usb2="00000029" w:usb3="00000000" w:csb0="000101FF" w:csb1="00000000"/>
  </w:font>
  <w:font w:name="Cambria,Bold">
    <w:altName w:val="Yu Gothic"/>
    <w:charset w:val="80"/>
    <w:family w:val="auto"/>
    <w:pitch w:val="default"/>
    <w:sig w:usb0="00000000" w:usb1="00000000" w:usb2="00000010" w:usb3="00000000" w:csb0="0002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9A7" w:rsidRDefault="002C49A7">
    <w:pPr>
      <w:pStyle w:val="Footer"/>
      <w:jc w:val="center"/>
    </w:pPr>
  </w:p>
  <w:p w:rsidR="002C49A7" w:rsidRDefault="002C49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9718225"/>
      <w:docPartObj>
        <w:docPartGallery w:val="Page Numbers (Bottom of Page)"/>
        <w:docPartUnique/>
      </w:docPartObj>
    </w:sdtPr>
    <w:sdtEndPr>
      <w:rPr>
        <w:noProof/>
      </w:rPr>
    </w:sdtEndPr>
    <w:sdtContent>
      <w:p w:rsidR="00785559" w:rsidRDefault="00785559">
        <w:pPr>
          <w:pStyle w:val="Footer"/>
          <w:jc w:val="center"/>
        </w:pPr>
        <w:r>
          <w:fldChar w:fldCharType="begin"/>
        </w:r>
        <w:r>
          <w:instrText xml:space="preserve"> PAGE   \* MERGEFORMAT </w:instrText>
        </w:r>
        <w:r>
          <w:fldChar w:fldCharType="separate"/>
        </w:r>
        <w:r w:rsidR="00415E2C">
          <w:rPr>
            <w:noProof/>
          </w:rPr>
          <w:t>1</w:t>
        </w:r>
        <w:r>
          <w:rPr>
            <w:noProof/>
          </w:rPr>
          <w:fldChar w:fldCharType="end"/>
        </w:r>
      </w:p>
    </w:sdtContent>
  </w:sdt>
  <w:p w:rsidR="002C49A7" w:rsidRDefault="002C49A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9A7" w:rsidRDefault="00247361">
    <w:pPr>
      <w:pStyle w:val="Footer"/>
      <w:jc w:val="center"/>
    </w:pPr>
    <w:r>
      <w:rPr>
        <w:noProof/>
      </w:rPr>
      <mc:AlternateContent>
        <mc:Choice Requires="wps">
          <w:drawing>
            <wp:anchor distT="0" distB="0" distL="114300" distR="114300" simplePos="0" relativeHeight="251667456" behindDoc="0" locked="0" layoutInCell="1" allowOverlap="1" wp14:anchorId="5A90065F" wp14:editId="62515C1A">
              <wp:simplePos x="0" y="0"/>
              <wp:positionH relativeFrom="margin">
                <wp:align>center</wp:align>
              </wp:positionH>
              <wp:positionV relativeFrom="paragraph">
                <wp:posOffset>0</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C49A7" w:rsidRDefault="00247361">
                          <w:pPr>
                            <w:pStyle w:val="Foote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0;width:2in;height:2in;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5JBUgIAAAkFAAAOAAAAZHJzL2Uyb0RvYy54bWysVMFu2zAMvQ/YPwi6r04zrAiCOkWWIsOA&#10;Yi2WDjsrspQYk0RBUmNnX78nOU6HbpcOu8i0SD6Sj6Sub3pr2EGF2JKr+eXFhDPlJDWt29X82+P6&#10;3YyzmIRrhCGnan5Ukd8s3r657vxcTWlPplGBAcTFeedrvk/Jz6sqyr2yIl6QVw5KTcGKhN+wq5og&#10;OqBbU00nk6uqo9D4QFLFiNvbQckXBV9rJdO91lElZmqO3FI5Qzm3+awW12K+C8LvW3lKQ/xDFla0&#10;DkHPULciCfYU2j+gbCsDRdLpQpKtSOtWqlIDqrmcvKhmsxdelVpATvRnmuL/g5VfDg+BtU3N0Sgn&#10;LFr0qPrEPlLPZpmdzsc5jDYeZqnHNbo83kdc5qJ7HWz+ohwGPXg+nrnNYDI7zaaz2QQqCd34A/zq&#10;2d2HmD4psiwLNQ9oXuFUHO5iGkxHkxzN0bo1pjTQONbV/Or9h0lxOGsAbhxi5CKGZIuUjkZlBOO+&#10;Ko3iS875ooydWpnADgIDI6RULpVyCxKss5VG2Nc4nuyzqyoj+Rrns0eJTC6dnW3rKJR6X6Td/BhT&#10;1oP9yMBQd6Yg9dv+1NwtNUf0NtCwG9HLdQv+70RMDyJgGdAzLHi6x6ENgWc6SZztKfz82322x4xC&#10;y1mH5aq5w/ZzZj47zG7ew1EIo7AdBfdkVwTyL/FweFlEOIRkRlEHst+x9cscAyrhJCLVPI3iKg0L&#10;jldDquWyGGHbvEh3buNlhi7N9sunhBkqo5VJGZg4kYV9K8N5ehvyQv/+X6yeX7DFLwAAAP//AwBQ&#10;SwMEFAAGAAgAAAAhAHGq0bnXAAAABQEAAA8AAABkcnMvZG93bnJldi54bWxMj0FPwzAMhe+T9h8i&#10;I3HbUgZCVWk6sYlyRGLlwDFrTFtInCrJuvLvMQgJLpafnvX8vXI7OysmDHHwpOBqnYFAar0ZqFPw&#10;0tSrHERMmoy2nlDBJ0bYVstFqQvjz/SM0yF1gkMoFlpBn9JYSBnbHp2Oaz8isffmg9OJZeikCfrM&#10;4c7KTZbdSqcH4g+9HnHfY/txODkF+7ppwoQx2Fd8rK/fn3Y3+DArdXkx39+BSDinv2P4xmd0qJjp&#10;6E9korAKuEj6mext8pzl8XeRVSn/01dfAAAA//8DAFBLAQItABQABgAIAAAAIQC2gziS/gAAAOEB&#10;AAATAAAAAAAAAAAAAAAAAAAAAABbQ29udGVudF9UeXBlc10ueG1sUEsBAi0AFAAGAAgAAAAhADj9&#10;If/WAAAAlAEAAAsAAAAAAAAAAAAAAAAALwEAAF9yZWxzLy5yZWxzUEsBAi0AFAAGAAgAAAAhACHD&#10;kkFSAgAACQUAAA4AAAAAAAAAAAAAAAAALgIAAGRycy9lMm9Eb2MueG1sUEsBAi0AFAAGAAgAAAAh&#10;AHGq0bnXAAAABQEAAA8AAAAAAAAAAAAAAAAArAQAAGRycy9kb3ducmV2LnhtbFBLBQYAAAAABAAE&#10;APMAAACwBQAAAAA=&#10;" filled="f" stroked="f" strokeweight=".5pt">
              <v:textbox style="mso-fit-shape-to-text:t" inset="0,0,0,0">
                <w:txbxContent>
                  <w:p w:rsidR="002C49A7" w:rsidRDefault="00247361">
                    <w:pPr>
                      <w:pStyle w:val="Footer"/>
                    </w:pPr>
                    <w:r>
                      <w:fldChar w:fldCharType="begin"/>
                    </w:r>
                    <w:r>
                      <w:instrText xml:space="preserve"> PAGE  \* MERGEFORMAT </w:instrText>
                    </w:r>
                    <w:r>
                      <w:fldChar w:fldCharType="separate"/>
                    </w:r>
                    <w:r>
                      <w:t>3</w:t>
                    </w:r>
                    <w:r>
                      <w:fldChar w:fldCharType="end"/>
                    </w:r>
                  </w:p>
                </w:txbxContent>
              </v:textbox>
              <w10:wrap anchorx="margin"/>
            </v:shape>
          </w:pict>
        </mc:Fallback>
      </mc:AlternateContent>
    </w:r>
  </w:p>
  <w:p w:rsidR="002C49A7" w:rsidRDefault="002C49A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456687"/>
      <w:docPartObj>
        <w:docPartGallery w:val="Page Numbers (Bottom of Page)"/>
        <w:docPartUnique/>
      </w:docPartObj>
    </w:sdtPr>
    <w:sdtEndPr>
      <w:rPr>
        <w:noProof/>
      </w:rPr>
    </w:sdtEndPr>
    <w:sdtContent>
      <w:p w:rsidR="00A419CD" w:rsidRDefault="00A419CD">
        <w:pPr>
          <w:pStyle w:val="Footer"/>
          <w:jc w:val="center"/>
        </w:pPr>
        <w:r>
          <w:fldChar w:fldCharType="begin"/>
        </w:r>
        <w:r>
          <w:instrText xml:space="preserve"> PAGE   \* MERGEFORMAT </w:instrText>
        </w:r>
        <w:r>
          <w:fldChar w:fldCharType="separate"/>
        </w:r>
        <w:r w:rsidR="00BF77B0">
          <w:rPr>
            <w:noProof/>
          </w:rPr>
          <w:t>18</w:t>
        </w:r>
        <w:r>
          <w:rPr>
            <w:noProof/>
          </w:rPr>
          <w:fldChar w:fldCharType="end"/>
        </w:r>
      </w:p>
    </w:sdtContent>
  </w:sdt>
  <w:p w:rsidR="002C49A7" w:rsidRDefault="002C49A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9A7" w:rsidRDefault="00247361">
    <w:pPr>
      <w:pStyle w:val="Footer"/>
      <w:jc w:val="center"/>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C49A7" w:rsidRDefault="00247361">
                          <w:pPr>
                            <w:pStyle w:val="Footer"/>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1027" type="#_x0000_t202" style="position:absolute;left:0;text-align:left;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QrIVgIAABAFAAAOAAAAZHJzL2Uyb0RvYy54bWysVMFu2zAMvQ/YPwi6r06zrgiCOkWWosOA&#10;Yi2WDjsrspQYk0RBUmNnX78nOU6HbpcOu8i0SD6Sj6Surntr2F6F2JKr+fnZhDPlJDWt29b82+Pt&#10;uxlnMQnXCENO1fygIr9evH1z1fm5mtKOTKMCA4iL887XfJeSn1dVlDtlRTwjrxyUmoIVCb9hWzVB&#10;dEC3pppOJpdVR6HxgaSKEbc3g5IvCr7WSqZ7raNKzNQcuaVyhnJu8lktrsR8G4TftfKYhviHLKxo&#10;HYKeoG5EEuwptH9A2VYGiqTTmSRbkdatVKUGVHM+eVHNeie8KrWAnOhPNMX/Byu/7B8Ca5uaX3Dm&#10;hEWLHlWf2Efq2UVmp/NxDqO1h1nqcY0uj/cRl7noXgebvyiHQQ+eDyduM5jMTrPpbDaBSkI3/gC/&#10;enb3IaZPiizLQs0Dmlc4Ffu7mAbT0SRHc3TbGlMaaBzran75/sOkOJw0ADcOMXIRQ7JFSgejMoJx&#10;X5VG8SXnfFHGTq1MYHuBgRFSKpdKuQUJ1tlKI+xrHI/22VWVkXyN88mjRCaXTs62dRRKvS/Sbn6M&#10;KevBfmRgqDtTkPpNX7o+HXu5oeaAFgcaViR6eduiDXcipgcRsBNoHfY83ePQhkA3HSXOdhR+/u0+&#10;22NUoeWsw47V3OER4Mx8dhjhvI6jEEZhMwruya4IPTjH++FlEeEQkhlFHch+x/IvcwyohJOIVPM0&#10;iqs07DkeD6mWy2KEpfMi3bm1lxm69NwvnxJGqUxY5mZg4sgZ1q7M6PGJyHv9+3+xen7IFr8AAAD/&#10;/wMAUEsDBBQABgAIAAAAIQBxqtG51wAAAAUBAAAPAAAAZHJzL2Rvd25yZXYueG1sTI9BT8MwDIXv&#10;k/YfIiNx21IGQlVpOrGJckRi5cAxa0xbSJwqybry7zEICS6Wn571/L1yOzsrJgxx8KTgap2BQGq9&#10;GahT8NLUqxxETJqMtp5QwSdG2FbLRakL48/0jNMhdYJDKBZaQZ/SWEgZ2x6djms/IrH35oPTiWXo&#10;pAn6zOHOyk2W3UqnB+IPvR5x32P7cTg5Bfu6acKEMdhXfKyv3592N/gwK3V5Md/fgUg4p79j+MZn&#10;dKiY6ehPZKKwCrhI+pnsbfKc5fF3kVUp/9NXXwAAAP//AwBQSwECLQAUAAYACAAAACEAtoM4kv4A&#10;AADhAQAAEwAAAAAAAAAAAAAAAAAAAAAAW0NvbnRlbnRfVHlwZXNdLnhtbFBLAQItABQABgAIAAAA&#10;IQA4/SH/1gAAAJQBAAALAAAAAAAAAAAAAAAAAC8BAABfcmVscy8ucmVsc1BLAQItABQABgAIAAAA&#10;IQCn7QrIVgIAABAFAAAOAAAAAAAAAAAAAAAAAC4CAABkcnMvZTJvRG9jLnhtbFBLAQItABQABgAI&#10;AAAAIQBxqtG51wAAAAUBAAAPAAAAAAAAAAAAAAAAALAEAABkcnMvZG93bnJldi54bWxQSwUGAAAA&#10;AAQABADzAAAAtAUAAAAA&#10;" filled="f" stroked="f" strokeweight=".5pt">
              <v:textbox style="mso-fit-shape-to-text:t" inset="0,0,0,0">
                <w:txbxContent>
                  <w:p w:rsidR="002C49A7" w:rsidRDefault="00247361">
                    <w:pPr>
                      <w:pStyle w:val="Footer"/>
                    </w:pPr>
                    <w:r>
                      <w:fldChar w:fldCharType="begin"/>
                    </w:r>
                    <w:r>
                      <w:instrText xml:space="preserve"> PAGE  \* MERGEFORMAT </w:instrText>
                    </w:r>
                    <w:r>
                      <w:fldChar w:fldCharType="separate"/>
                    </w:r>
                    <w:r>
                      <w:t>16</w:t>
                    </w:r>
                    <w:r>
                      <w:fldChar w:fldCharType="end"/>
                    </w:r>
                  </w:p>
                </w:txbxContent>
              </v:textbox>
              <w10:wrap anchorx="margin"/>
            </v:shape>
          </w:pict>
        </mc:Fallback>
      </mc:AlternateContent>
    </w:r>
  </w:p>
  <w:p w:rsidR="002C49A7" w:rsidRDefault="002C49A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9A7" w:rsidRDefault="002C49A7">
    <w:pPr>
      <w:pStyle w:val="Footer"/>
      <w:jc w:val="center"/>
    </w:pPr>
  </w:p>
  <w:p w:rsidR="002C49A7" w:rsidRDefault="002C49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FDA" w:rsidRDefault="00247361">
      <w:pPr>
        <w:spacing w:after="0" w:line="240" w:lineRule="auto"/>
      </w:pPr>
      <w:r>
        <w:separator/>
      </w:r>
    </w:p>
  </w:footnote>
  <w:footnote w:type="continuationSeparator" w:id="0">
    <w:p w:rsidR="004A4FDA" w:rsidRDefault="002473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64F22"/>
    <w:multiLevelType w:val="multilevel"/>
    <w:tmpl w:val="25764F2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70746EB2"/>
    <w:multiLevelType w:val="multilevel"/>
    <w:tmpl w:val="70746EB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ez2w9td7dvre2ees5ypszf9xez900rafpxz&quot;&gt;My EndNote Library&lt;record-ids&gt;&lt;item&gt;1&lt;/item&gt;&lt;item&gt;5&lt;/item&gt;&lt;item&gt;12&lt;/item&gt;&lt;item&gt;17&lt;/item&gt;&lt;item&gt;20&lt;/item&gt;&lt;item&gt;25&lt;/item&gt;&lt;item&gt;28&lt;/item&gt;&lt;item&gt;33&lt;/item&gt;&lt;item&gt;34&lt;/item&gt;&lt;item&gt;35&lt;/item&gt;&lt;item&gt;37&lt;/item&gt;&lt;item&gt;48&lt;/item&gt;&lt;item&gt;54&lt;/item&gt;&lt;item&gt;63&lt;/item&gt;&lt;item&gt;70&lt;/item&gt;&lt;/record-ids&gt;&lt;/item&gt;&lt;/Libraries&gt;"/>
  </w:docVars>
  <w:rsids>
    <w:rsidRoot w:val="0007011F"/>
    <w:rsid w:val="00002ED7"/>
    <w:rsid w:val="000055B9"/>
    <w:rsid w:val="0002707D"/>
    <w:rsid w:val="00050C6F"/>
    <w:rsid w:val="0007011F"/>
    <w:rsid w:val="00084146"/>
    <w:rsid w:val="00087426"/>
    <w:rsid w:val="000B266E"/>
    <w:rsid w:val="000E5CB0"/>
    <w:rsid w:val="001133AF"/>
    <w:rsid w:val="0011667A"/>
    <w:rsid w:val="00173825"/>
    <w:rsid w:val="001A3596"/>
    <w:rsid w:val="002212B3"/>
    <w:rsid w:val="00247361"/>
    <w:rsid w:val="00263FE1"/>
    <w:rsid w:val="00270A28"/>
    <w:rsid w:val="002A238A"/>
    <w:rsid w:val="002C49A7"/>
    <w:rsid w:val="002E3712"/>
    <w:rsid w:val="00323CDC"/>
    <w:rsid w:val="00351534"/>
    <w:rsid w:val="003A565A"/>
    <w:rsid w:val="003A7AEF"/>
    <w:rsid w:val="003F2830"/>
    <w:rsid w:val="00415E2C"/>
    <w:rsid w:val="00422521"/>
    <w:rsid w:val="00427EC2"/>
    <w:rsid w:val="0047619E"/>
    <w:rsid w:val="00490E77"/>
    <w:rsid w:val="004A243F"/>
    <w:rsid w:val="004A4FDA"/>
    <w:rsid w:val="004D03EA"/>
    <w:rsid w:val="004F562B"/>
    <w:rsid w:val="00503AA0"/>
    <w:rsid w:val="00514D00"/>
    <w:rsid w:val="005337A3"/>
    <w:rsid w:val="00594479"/>
    <w:rsid w:val="005C66DA"/>
    <w:rsid w:val="00621A44"/>
    <w:rsid w:val="00627F20"/>
    <w:rsid w:val="006F1A2E"/>
    <w:rsid w:val="006F53DB"/>
    <w:rsid w:val="00736E29"/>
    <w:rsid w:val="00750A15"/>
    <w:rsid w:val="00772C35"/>
    <w:rsid w:val="0078545C"/>
    <w:rsid w:val="00785559"/>
    <w:rsid w:val="007D7190"/>
    <w:rsid w:val="007E204B"/>
    <w:rsid w:val="007F240F"/>
    <w:rsid w:val="007F41D8"/>
    <w:rsid w:val="00854F81"/>
    <w:rsid w:val="00863615"/>
    <w:rsid w:val="00893726"/>
    <w:rsid w:val="008A0AAF"/>
    <w:rsid w:val="008A1DEC"/>
    <w:rsid w:val="008A2D2B"/>
    <w:rsid w:val="00904690"/>
    <w:rsid w:val="009333DD"/>
    <w:rsid w:val="00940D95"/>
    <w:rsid w:val="009535F2"/>
    <w:rsid w:val="00A04454"/>
    <w:rsid w:val="00A30171"/>
    <w:rsid w:val="00A419CD"/>
    <w:rsid w:val="00A41B49"/>
    <w:rsid w:val="00A577A6"/>
    <w:rsid w:val="00A72427"/>
    <w:rsid w:val="00AA7443"/>
    <w:rsid w:val="00B0575E"/>
    <w:rsid w:val="00B119E8"/>
    <w:rsid w:val="00B460EC"/>
    <w:rsid w:val="00B46694"/>
    <w:rsid w:val="00B4787C"/>
    <w:rsid w:val="00B61F24"/>
    <w:rsid w:val="00B62C70"/>
    <w:rsid w:val="00B804D1"/>
    <w:rsid w:val="00B9256E"/>
    <w:rsid w:val="00BD0760"/>
    <w:rsid w:val="00BD2ABA"/>
    <w:rsid w:val="00BF77B0"/>
    <w:rsid w:val="00C044DE"/>
    <w:rsid w:val="00C3690C"/>
    <w:rsid w:val="00C638D3"/>
    <w:rsid w:val="00C71910"/>
    <w:rsid w:val="00C835F5"/>
    <w:rsid w:val="00D061FA"/>
    <w:rsid w:val="00D071B8"/>
    <w:rsid w:val="00D17CD1"/>
    <w:rsid w:val="00D303CC"/>
    <w:rsid w:val="00D672DA"/>
    <w:rsid w:val="00D76DCD"/>
    <w:rsid w:val="00D903FC"/>
    <w:rsid w:val="00D90A3E"/>
    <w:rsid w:val="00DD7F10"/>
    <w:rsid w:val="00E2476B"/>
    <w:rsid w:val="00E418E1"/>
    <w:rsid w:val="00E51877"/>
    <w:rsid w:val="00E6272E"/>
    <w:rsid w:val="00E773E7"/>
    <w:rsid w:val="00E93431"/>
    <w:rsid w:val="00EC16FF"/>
    <w:rsid w:val="00F459E5"/>
    <w:rsid w:val="00F471F6"/>
    <w:rsid w:val="00FA6D5D"/>
    <w:rsid w:val="00FD55B0"/>
    <w:rsid w:val="01A43C4F"/>
    <w:rsid w:val="026220D4"/>
    <w:rsid w:val="02E535C4"/>
    <w:rsid w:val="05E20AAB"/>
    <w:rsid w:val="05F67B89"/>
    <w:rsid w:val="068F5EB3"/>
    <w:rsid w:val="07CB2CFA"/>
    <w:rsid w:val="08991A09"/>
    <w:rsid w:val="089E1F18"/>
    <w:rsid w:val="08D42D31"/>
    <w:rsid w:val="09490E6A"/>
    <w:rsid w:val="0B6B39D2"/>
    <w:rsid w:val="0D5A3197"/>
    <w:rsid w:val="0D79060D"/>
    <w:rsid w:val="0E1057F8"/>
    <w:rsid w:val="0E38608A"/>
    <w:rsid w:val="0F411622"/>
    <w:rsid w:val="0F751F01"/>
    <w:rsid w:val="10934132"/>
    <w:rsid w:val="10E706AB"/>
    <w:rsid w:val="11726135"/>
    <w:rsid w:val="1294606C"/>
    <w:rsid w:val="142B65E9"/>
    <w:rsid w:val="164C1F07"/>
    <w:rsid w:val="17292305"/>
    <w:rsid w:val="1787504D"/>
    <w:rsid w:val="17990216"/>
    <w:rsid w:val="18084245"/>
    <w:rsid w:val="187B77F9"/>
    <w:rsid w:val="1B46482A"/>
    <w:rsid w:val="1BC95263"/>
    <w:rsid w:val="1BE13A8A"/>
    <w:rsid w:val="1C21121F"/>
    <w:rsid w:val="1CC93C93"/>
    <w:rsid w:val="2061160A"/>
    <w:rsid w:val="213E2352"/>
    <w:rsid w:val="229C0CE1"/>
    <w:rsid w:val="22A76FAA"/>
    <w:rsid w:val="234C1F34"/>
    <w:rsid w:val="23A24A58"/>
    <w:rsid w:val="248B320A"/>
    <w:rsid w:val="24C34A08"/>
    <w:rsid w:val="25005642"/>
    <w:rsid w:val="253D3DDD"/>
    <w:rsid w:val="29207E4D"/>
    <w:rsid w:val="294C6D2E"/>
    <w:rsid w:val="295824D6"/>
    <w:rsid w:val="298B7F71"/>
    <w:rsid w:val="2A2C0804"/>
    <w:rsid w:val="2BEA4116"/>
    <w:rsid w:val="2BF66BE4"/>
    <w:rsid w:val="2C6B6ECF"/>
    <w:rsid w:val="2C810CBD"/>
    <w:rsid w:val="2D823A02"/>
    <w:rsid w:val="2D8631E4"/>
    <w:rsid w:val="2DB205AA"/>
    <w:rsid w:val="2DB93F3E"/>
    <w:rsid w:val="2DE11857"/>
    <w:rsid w:val="2E796F68"/>
    <w:rsid w:val="2F7D0FDF"/>
    <w:rsid w:val="2FCE7377"/>
    <w:rsid w:val="30EC66DE"/>
    <w:rsid w:val="31963727"/>
    <w:rsid w:val="32893898"/>
    <w:rsid w:val="33C51691"/>
    <w:rsid w:val="34612DBA"/>
    <w:rsid w:val="349D423B"/>
    <w:rsid w:val="37645DCA"/>
    <w:rsid w:val="37D32312"/>
    <w:rsid w:val="383D4A46"/>
    <w:rsid w:val="388D2A89"/>
    <w:rsid w:val="3ADC14D0"/>
    <w:rsid w:val="3AF32664"/>
    <w:rsid w:val="3AF6767E"/>
    <w:rsid w:val="3B171DD1"/>
    <w:rsid w:val="3BE323FD"/>
    <w:rsid w:val="3C697E67"/>
    <w:rsid w:val="3DAA6B76"/>
    <w:rsid w:val="3EB849D9"/>
    <w:rsid w:val="3EC27280"/>
    <w:rsid w:val="40191A10"/>
    <w:rsid w:val="42F10223"/>
    <w:rsid w:val="43D50C89"/>
    <w:rsid w:val="450E0A07"/>
    <w:rsid w:val="47A7773D"/>
    <w:rsid w:val="4A9576BA"/>
    <w:rsid w:val="4E7335A1"/>
    <w:rsid w:val="50273B23"/>
    <w:rsid w:val="5037247F"/>
    <w:rsid w:val="50B40774"/>
    <w:rsid w:val="50E45483"/>
    <w:rsid w:val="51740623"/>
    <w:rsid w:val="553E7BFB"/>
    <w:rsid w:val="556A4EF4"/>
    <w:rsid w:val="56720950"/>
    <w:rsid w:val="572342DB"/>
    <w:rsid w:val="57DF3268"/>
    <w:rsid w:val="58283283"/>
    <w:rsid w:val="592658BA"/>
    <w:rsid w:val="59B10C31"/>
    <w:rsid w:val="5A351DC8"/>
    <w:rsid w:val="5C902E49"/>
    <w:rsid w:val="5D507E98"/>
    <w:rsid w:val="5D6573DD"/>
    <w:rsid w:val="5FAF5276"/>
    <w:rsid w:val="602658A4"/>
    <w:rsid w:val="62806428"/>
    <w:rsid w:val="62ED5052"/>
    <w:rsid w:val="63590BE7"/>
    <w:rsid w:val="648A5EA3"/>
    <w:rsid w:val="665D525C"/>
    <w:rsid w:val="67133D2B"/>
    <w:rsid w:val="67263318"/>
    <w:rsid w:val="67981B88"/>
    <w:rsid w:val="67B70817"/>
    <w:rsid w:val="68612962"/>
    <w:rsid w:val="6A395EAB"/>
    <w:rsid w:val="6BF97D76"/>
    <w:rsid w:val="6EFA5B24"/>
    <w:rsid w:val="6F8E6347"/>
    <w:rsid w:val="6FB141D3"/>
    <w:rsid w:val="7058646E"/>
    <w:rsid w:val="73973E8B"/>
    <w:rsid w:val="73F301D8"/>
    <w:rsid w:val="75807F16"/>
    <w:rsid w:val="75F10679"/>
    <w:rsid w:val="7755448F"/>
    <w:rsid w:val="78C671C7"/>
    <w:rsid w:val="79DC2162"/>
    <w:rsid w:val="79ED22CE"/>
    <w:rsid w:val="7B93541A"/>
    <w:rsid w:val="7C156A3E"/>
    <w:rsid w:val="7C7F14A1"/>
    <w:rsid w:val="7F290D0D"/>
    <w:rsid w:val="7FCE6A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0" w:unhideWhenUsed="0" w:qFormat="1"/>
    <w:lsdException w:name="Normal (Web)" w:semiHidden="0" w:qFormat="1"/>
    <w:lsdException w:name="Normal Table" w:qFormat="1"/>
    <w:lsdException w:name="Table Grid" w:semiHidden="0" w:uiPriority="3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200" w:after="0" w:line="276" w:lineRule="auto"/>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b/>
      <w:bCs/>
      <w:color w:val="5B9BD5" w:themeColor="accent1"/>
      <w:sz w:val="18"/>
      <w:szCs w:val="18"/>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qFormat/>
    <w:rPr>
      <w:i/>
      <w:iCs/>
      <w:color w:val="auto"/>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ej-keyword">
    <w:name w:val="ej-keyword"/>
    <w:basedOn w:val="DefaultParagraphFont"/>
    <w:qFormat/>
  </w:style>
  <w:style w:type="paragraph" w:customStyle="1" w:styleId="EndNoteBibliographyTitle">
    <w:name w:val="EndNote Bibliography Title"/>
    <w:basedOn w:val="Normal"/>
    <w:link w:val="EndNoteBibliographyTitleChar"/>
    <w:qFormat/>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qFormat/>
    <w:rPr>
      <w:rFonts w:ascii="Calibri" w:hAnsi="Calibri" w:cs="Calibri"/>
    </w:rPr>
  </w:style>
  <w:style w:type="paragraph" w:customStyle="1" w:styleId="EndNoteBibliography">
    <w:name w:val="EndNote Bibliography"/>
    <w:basedOn w:val="Normal"/>
    <w:link w:val="EndNoteBibliographyChar"/>
    <w:qFormat/>
    <w:pPr>
      <w:spacing w:line="240" w:lineRule="auto"/>
    </w:pPr>
    <w:rPr>
      <w:rFonts w:ascii="Calibri" w:hAnsi="Calibri" w:cs="Calibri"/>
    </w:rPr>
  </w:style>
  <w:style w:type="character" w:customStyle="1" w:styleId="EndNoteBibliographyChar">
    <w:name w:val="EndNote Bibliography Char"/>
    <w:basedOn w:val="DefaultParagraphFont"/>
    <w:link w:val="EndNoteBibliography"/>
    <w:qFormat/>
    <w:rPr>
      <w:rFonts w:ascii="Calibri" w:hAnsi="Calibri" w:cs="Calibri"/>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sz w:val="26"/>
      <w:szCs w:val="26"/>
    </w:rPr>
  </w:style>
  <w:style w:type="paragraph" w:styleId="NoSpacing">
    <w:name w:val="No Spacing"/>
    <w:link w:val="NoSpacingChar"/>
    <w:uiPriority w:val="1"/>
    <w:qFormat/>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qFormat/>
    <w:rPr>
      <w:rFonts w:eastAsiaTheme="minorEastAsia"/>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4E79" w:themeColor="accent1" w:themeShade="80"/>
      <w:sz w:val="24"/>
      <w:szCs w:val="24"/>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rPr>
  </w:style>
  <w:style w:type="table" w:customStyle="1" w:styleId="ListTable31">
    <w:name w:val="List Table 31"/>
    <w:basedOn w:val="TableNormal"/>
    <w:uiPriority w:val="48"/>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HeaderChar">
    <w:name w:val="Header Char"/>
    <w:basedOn w:val="DefaultParagraphFont"/>
    <w:link w:val="Header"/>
    <w:uiPriority w:val="99"/>
    <w:qFormat/>
    <w:rPr>
      <w:sz w:val="22"/>
      <w:szCs w:val="22"/>
    </w:rPr>
  </w:style>
  <w:style w:type="character" w:customStyle="1" w:styleId="FooterChar">
    <w:name w:val="Footer Char"/>
    <w:basedOn w:val="DefaultParagraphFont"/>
    <w:link w:val="Footer"/>
    <w:uiPriority w:val="99"/>
    <w:qFormat/>
    <w:rPr>
      <w:sz w:val="22"/>
      <w:szCs w:val="22"/>
    </w:rPr>
  </w:style>
  <w:style w:type="paragraph" w:styleId="BalloonText">
    <w:name w:val="Balloon Text"/>
    <w:basedOn w:val="Normal"/>
    <w:link w:val="BalloonTextChar"/>
    <w:uiPriority w:val="99"/>
    <w:semiHidden/>
    <w:unhideWhenUsed/>
    <w:rsid w:val="00A41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19CD"/>
    <w:rPr>
      <w:rFonts w:ascii="Tahoma" w:eastAsiaTheme="minorHAns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0" w:unhideWhenUsed="0" w:qFormat="1"/>
    <w:lsdException w:name="Normal (Web)" w:semiHidden="0" w:qFormat="1"/>
    <w:lsdException w:name="Normal Table" w:qFormat="1"/>
    <w:lsdException w:name="Table Grid" w:semiHidden="0" w:uiPriority="3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200" w:after="0" w:line="276" w:lineRule="auto"/>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b/>
      <w:bCs/>
      <w:color w:val="5B9BD5" w:themeColor="accent1"/>
      <w:sz w:val="18"/>
      <w:szCs w:val="18"/>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qFormat/>
    <w:rPr>
      <w:i/>
      <w:iCs/>
      <w:color w:val="auto"/>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ej-keyword">
    <w:name w:val="ej-keyword"/>
    <w:basedOn w:val="DefaultParagraphFont"/>
    <w:qFormat/>
  </w:style>
  <w:style w:type="paragraph" w:customStyle="1" w:styleId="EndNoteBibliographyTitle">
    <w:name w:val="EndNote Bibliography Title"/>
    <w:basedOn w:val="Normal"/>
    <w:link w:val="EndNoteBibliographyTitleChar"/>
    <w:qFormat/>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qFormat/>
    <w:rPr>
      <w:rFonts w:ascii="Calibri" w:hAnsi="Calibri" w:cs="Calibri"/>
    </w:rPr>
  </w:style>
  <w:style w:type="paragraph" w:customStyle="1" w:styleId="EndNoteBibliography">
    <w:name w:val="EndNote Bibliography"/>
    <w:basedOn w:val="Normal"/>
    <w:link w:val="EndNoteBibliographyChar"/>
    <w:qFormat/>
    <w:pPr>
      <w:spacing w:line="240" w:lineRule="auto"/>
    </w:pPr>
    <w:rPr>
      <w:rFonts w:ascii="Calibri" w:hAnsi="Calibri" w:cs="Calibri"/>
    </w:rPr>
  </w:style>
  <w:style w:type="character" w:customStyle="1" w:styleId="EndNoteBibliographyChar">
    <w:name w:val="EndNote Bibliography Char"/>
    <w:basedOn w:val="DefaultParagraphFont"/>
    <w:link w:val="EndNoteBibliography"/>
    <w:qFormat/>
    <w:rPr>
      <w:rFonts w:ascii="Calibri" w:hAnsi="Calibri" w:cs="Calibri"/>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sz w:val="26"/>
      <w:szCs w:val="26"/>
    </w:rPr>
  </w:style>
  <w:style w:type="paragraph" w:styleId="NoSpacing">
    <w:name w:val="No Spacing"/>
    <w:link w:val="NoSpacingChar"/>
    <w:uiPriority w:val="1"/>
    <w:qFormat/>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qFormat/>
    <w:rPr>
      <w:rFonts w:eastAsiaTheme="minorEastAsia"/>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4E79" w:themeColor="accent1" w:themeShade="80"/>
      <w:sz w:val="24"/>
      <w:szCs w:val="24"/>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rPr>
  </w:style>
  <w:style w:type="table" w:customStyle="1" w:styleId="ListTable31">
    <w:name w:val="List Table 31"/>
    <w:basedOn w:val="TableNormal"/>
    <w:uiPriority w:val="48"/>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HeaderChar">
    <w:name w:val="Header Char"/>
    <w:basedOn w:val="DefaultParagraphFont"/>
    <w:link w:val="Header"/>
    <w:uiPriority w:val="99"/>
    <w:qFormat/>
    <w:rPr>
      <w:sz w:val="22"/>
      <w:szCs w:val="22"/>
    </w:rPr>
  </w:style>
  <w:style w:type="character" w:customStyle="1" w:styleId="FooterChar">
    <w:name w:val="Footer Char"/>
    <w:basedOn w:val="DefaultParagraphFont"/>
    <w:link w:val="Footer"/>
    <w:uiPriority w:val="99"/>
    <w:qFormat/>
    <w:rPr>
      <w:sz w:val="22"/>
      <w:szCs w:val="22"/>
    </w:rPr>
  </w:style>
  <w:style w:type="paragraph" w:styleId="BalloonText">
    <w:name w:val="Balloon Text"/>
    <w:basedOn w:val="Normal"/>
    <w:link w:val="BalloonTextChar"/>
    <w:uiPriority w:val="99"/>
    <w:semiHidden/>
    <w:unhideWhenUsed/>
    <w:rsid w:val="00A41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19CD"/>
    <w:rPr>
      <w:rFonts w:ascii="Tahoma" w:eastAsiaTheme="minorHAns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mailto:berhanuseboka375@gmail.com" TargetMode="Externa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footer" Target="footer4.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3B599C-297F-4E09-8A82-03271F05A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19</Pages>
  <Words>7792</Words>
  <Characters>44417</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Birhanu</dc:creator>
  <cp:lastModifiedBy>Administrator</cp:lastModifiedBy>
  <cp:revision>14</cp:revision>
  <cp:lastPrinted>1980-01-05T08:35:00Z</cp:lastPrinted>
  <dcterms:created xsi:type="dcterms:W3CDTF">2020-08-30T20:23:00Z</dcterms:created>
  <dcterms:modified xsi:type="dcterms:W3CDTF">1980-01-05T08:53:00Z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1033-11.2.0.9665</vt:lpwstr>
  </property>
</Properties>
</file>